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5BEC" w14:textId="77777777" w:rsidR="00013BF0" w:rsidRPr="00266A73" w:rsidRDefault="00013BF0" w:rsidP="00AE0818">
      <w:pPr>
        <w:jc w:val="center"/>
        <w:rPr>
          <w:b/>
          <w:sz w:val="36"/>
          <w:szCs w:val="36"/>
        </w:rPr>
      </w:pPr>
      <w:r w:rsidRPr="00266A73">
        <w:rPr>
          <w:b/>
          <w:sz w:val="36"/>
          <w:szCs w:val="36"/>
        </w:rPr>
        <w:t>SURREY WILDLIFE TRUST</w:t>
      </w:r>
    </w:p>
    <w:p w14:paraId="7D9F5302" w14:textId="77777777" w:rsidR="00013BF0" w:rsidRPr="005915CA" w:rsidRDefault="00013BF0" w:rsidP="00AE0818">
      <w:pPr>
        <w:jc w:val="center"/>
        <w:rPr>
          <w:b/>
          <w:sz w:val="24"/>
          <w:szCs w:val="24"/>
        </w:rPr>
      </w:pPr>
    </w:p>
    <w:p w14:paraId="219453AE" w14:textId="77777777" w:rsidR="008F37F1" w:rsidRPr="00266A73" w:rsidRDefault="00013BF0" w:rsidP="00AE0818">
      <w:pPr>
        <w:jc w:val="center"/>
        <w:rPr>
          <w:b/>
          <w:sz w:val="28"/>
          <w:szCs w:val="28"/>
        </w:rPr>
      </w:pPr>
      <w:r w:rsidRPr="00266A73">
        <w:rPr>
          <w:b/>
          <w:sz w:val="28"/>
          <w:szCs w:val="28"/>
        </w:rPr>
        <w:t xml:space="preserve">Minutes of </w:t>
      </w:r>
      <w:r w:rsidR="002F524F" w:rsidRPr="00266A73">
        <w:rPr>
          <w:b/>
          <w:sz w:val="28"/>
          <w:szCs w:val="28"/>
        </w:rPr>
        <w:t xml:space="preserve">the </w:t>
      </w:r>
      <w:r w:rsidRPr="00266A73">
        <w:rPr>
          <w:b/>
          <w:sz w:val="28"/>
          <w:szCs w:val="28"/>
        </w:rPr>
        <w:t>Annual General Meeting</w:t>
      </w:r>
      <w:r w:rsidR="002F524F" w:rsidRPr="00266A73">
        <w:rPr>
          <w:b/>
          <w:sz w:val="28"/>
          <w:szCs w:val="28"/>
        </w:rPr>
        <w:t xml:space="preserve"> </w:t>
      </w:r>
    </w:p>
    <w:p w14:paraId="6440719B" w14:textId="6EF0CAEC" w:rsidR="009D7517" w:rsidRPr="00266A73" w:rsidRDefault="002F524F" w:rsidP="00AE0818">
      <w:pPr>
        <w:jc w:val="center"/>
        <w:rPr>
          <w:b/>
          <w:sz w:val="28"/>
          <w:szCs w:val="28"/>
        </w:rPr>
      </w:pPr>
      <w:r w:rsidRPr="00266A73">
        <w:rPr>
          <w:b/>
          <w:sz w:val="28"/>
          <w:szCs w:val="28"/>
        </w:rPr>
        <w:t>h</w:t>
      </w:r>
      <w:r w:rsidR="00013BF0" w:rsidRPr="00266A73">
        <w:rPr>
          <w:b/>
          <w:sz w:val="28"/>
          <w:szCs w:val="28"/>
        </w:rPr>
        <w:t xml:space="preserve">eld </w:t>
      </w:r>
      <w:r w:rsidRPr="00266A73">
        <w:rPr>
          <w:b/>
          <w:sz w:val="28"/>
          <w:szCs w:val="28"/>
        </w:rPr>
        <w:t>at 10</w:t>
      </w:r>
      <w:r w:rsidR="002E0FCB" w:rsidRPr="00266A73">
        <w:rPr>
          <w:b/>
          <w:sz w:val="28"/>
          <w:szCs w:val="28"/>
        </w:rPr>
        <w:t>.00</w:t>
      </w:r>
      <w:r w:rsidRPr="00266A73">
        <w:rPr>
          <w:b/>
          <w:sz w:val="28"/>
          <w:szCs w:val="28"/>
        </w:rPr>
        <w:t xml:space="preserve">am </w:t>
      </w:r>
      <w:r w:rsidR="00013BF0" w:rsidRPr="00266A73">
        <w:rPr>
          <w:b/>
          <w:sz w:val="28"/>
          <w:szCs w:val="28"/>
        </w:rPr>
        <w:t xml:space="preserve">on Saturday </w:t>
      </w:r>
      <w:r w:rsidR="00A85C5A" w:rsidRPr="00266A73">
        <w:rPr>
          <w:b/>
          <w:sz w:val="28"/>
          <w:szCs w:val="28"/>
        </w:rPr>
        <w:t>14</w:t>
      </w:r>
      <w:r w:rsidR="00CA3FB9" w:rsidRPr="00266A73">
        <w:rPr>
          <w:b/>
          <w:sz w:val="28"/>
          <w:szCs w:val="28"/>
        </w:rPr>
        <w:t xml:space="preserve"> November 20</w:t>
      </w:r>
      <w:r w:rsidR="008F37F1" w:rsidRPr="00266A73">
        <w:rPr>
          <w:b/>
          <w:sz w:val="28"/>
          <w:szCs w:val="28"/>
        </w:rPr>
        <w:t>20</w:t>
      </w:r>
    </w:p>
    <w:p w14:paraId="17532725" w14:textId="054C0B64" w:rsidR="00013BF0" w:rsidRPr="00266A73" w:rsidRDefault="008F37F1" w:rsidP="00AE0818">
      <w:pPr>
        <w:jc w:val="center"/>
        <w:rPr>
          <w:b/>
          <w:sz w:val="28"/>
          <w:szCs w:val="28"/>
        </w:rPr>
      </w:pPr>
      <w:r w:rsidRPr="00266A73">
        <w:rPr>
          <w:b/>
          <w:sz w:val="28"/>
          <w:szCs w:val="28"/>
        </w:rPr>
        <w:t>via Zoom</w:t>
      </w:r>
    </w:p>
    <w:p w14:paraId="6C117621" w14:textId="77777777" w:rsidR="002F524F" w:rsidRPr="005915CA" w:rsidRDefault="002F524F" w:rsidP="00AE0818">
      <w:pPr>
        <w:jc w:val="center"/>
        <w:rPr>
          <w:b/>
          <w:sz w:val="24"/>
          <w:szCs w:val="24"/>
        </w:rPr>
      </w:pPr>
    </w:p>
    <w:p w14:paraId="7038D5BF" w14:textId="4F6CEA69" w:rsidR="00E531C8" w:rsidRPr="005915CA" w:rsidRDefault="00013BF0" w:rsidP="00AE0818">
      <w:pPr>
        <w:rPr>
          <w:b/>
        </w:rPr>
      </w:pPr>
      <w:r w:rsidRPr="005915CA">
        <w:rPr>
          <w:b/>
        </w:rPr>
        <w:t>Present</w:t>
      </w:r>
      <w:r w:rsidR="008F37F1">
        <w:rPr>
          <w:b/>
        </w:rPr>
        <w:t xml:space="preserve"> online</w:t>
      </w:r>
    </w:p>
    <w:p w14:paraId="778ED62F" w14:textId="3341D5F5" w:rsidR="00013BF0" w:rsidRPr="005915CA" w:rsidRDefault="00E531C8" w:rsidP="00AE0818">
      <w:r>
        <w:t>48</w:t>
      </w:r>
      <w:r w:rsidR="003B644D" w:rsidRPr="005915CA">
        <w:t xml:space="preserve"> Trust members</w:t>
      </w:r>
    </w:p>
    <w:p w14:paraId="37AF586A" w14:textId="06E48E04" w:rsidR="00706CD4" w:rsidRDefault="00706CD4" w:rsidP="00AE0818">
      <w:r>
        <w:t>Trustees</w:t>
      </w:r>
    </w:p>
    <w:p w14:paraId="3DBBBF76" w14:textId="496B6285" w:rsidR="00382483" w:rsidRPr="005915CA" w:rsidRDefault="00382483" w:rsidP="00AE0818">
      <w:r w:rsidRPr="005915CA">
        <w:t>Trust staff</w:t>
      </w:r>
    </w:p>
    <w:p w14:paraId="66ACEB68" w14:textId="77777777" w:rsidR="00013BF0" w:rsidRPr="005915CA" w:rsidRDefault="00013BF0" w:rsidP="00AE0818"/>
    <w:p w14:paraId="12CFD0F2" w14:textId="525E80B8" w:rsidR="00382483" w:rsidRDefault="00706CD4" w:rsidP="00AE0818">
      <w:pPr>
        <w:rPr>
          <w:b/>
        </w:rPr>
      </w:pPr>
      <w:r>
        <w:rPr>
          <w:b/>
        </w:rPr>
        <w:t xml:space="preserve">Current </w:t>
      </w:r>
      <w:r w:rsidR="005A427C">
        <w:rPr>
          <w:b/>
        </w:rPr>
        <w:t>Trustees</w:t>
      </w:r>
      <w:r w:rsidR="005A427C">
        <w:rPr>
          <w:b/>
        </w:rPr>
        <w:tab/>
      </w:r>
      <w:r w:rsidR="005A427C">
        <w:rPr>
          <w:b/>
        </w:rPr>
        <w:tab/>
      </w:r>
      <w:r w:rsidR="005A427C">
        <w:rPr>
          <w:b/>
        </w:rPr>
        <w:tab/>
      </w:r>
      <w:r w:rsidR="005A427C">
        <w:rPr>
          <w:b/>
        </w:rPr>
        <w:tab/>
      </w:r>
      <w:proofErr w:type="spellStart"/>
      <w:r w:rsidR="00F17454">
        <w:rPr>
          <w:b/>
        </w:rPr>
        <w:t>Trustees</w:t>
      </w:r>
      <w:proofErr w:type="spellEnd"/>
      <w:r w:rsidR="00F17454">
        <w:rPr>
          <w:b/>
        </w:rPr>
        <w:t xml:space="preserve"> Proposed for Re-election</w:t>
      </w:r>
    </w:p>
    <w:p w14:paraId="498F976D" w14:textId="26A5AC4F" w:rsidR="00013BF0" w:rsidRPr="005915CA" w:rsidRDefault="005C490C" w:rsidP="00AE0818">
      <w:r>
        <w:t>Angela Swarbrick</w:t>
      </w:r>
      <w:r w:rsidRPr="00382483">
        <w:t xml:space="preserve"> </w:t>
      </w:r>
      <w:r>
        <w:t>(chair)</w:t>
      </w:r>
      <w:r>
        <w:tab/>
      </w:r>
      <w:r w:rsidR="005A427C">
        <w:tab/>
      </w:r>
      <w:r w:rsidR="00382483">
        <w:tab/>
      </w:r>
      <w:r w:rsidR="00F17454">
        <w:t>None</w:t>
      </w:r>
    </w:p>
    <w:p w14:paraId="24B0FD54" w14:textId="54CF8B4F" w:rsidR="00294BB2" w:rsidRDefault="00294BB2" w:rsidP="00AE0818">
      <w:r>
        <w:t>Gerry Bacon</w:t>
      </w:r>
      <w:r w:rsidRPr="00382483">
        <w:t xml:space="preserve"> </w:t>
      </w:r>
      <w:r>
        <w:tab/>
      </w:r>
      <w:r>
        <w:tab/>
      </w:r>
      <w:r>
        <w:tab/>
      </w:r>
      <w:r>
        <w:tab/>
      </w:r>
      <w:r>
        <w:tab/>
      </w:r>
    </w:p>
    <w:p w14:paraId="3859BE69" w14:textId="7FB9DFDB" w:rsidR="005C490C" w:rsidRDefault="00083563" w:rsidP="00AE0818">
      <w:r w:rsidRPr="00382483">
        <w:t>Nick Baxter</w:t>
      </w:r>
      <w:r w:rsidR="00706CD4">
        <w:rPr>
          <w:b/>
          <w:bCs/>
        </w:rPr>
        <w:tab/>
      </w:r>
      <w:r w:rsidR="00706CD4">
        <w:rPr>
          <w:b/>
          <w:bCs/>
        </w:rPr>
        <w:tab/>
      </w:r>
      <w:r w:rsidR="00706CD4">
        <w:rPr>
          <w:b/>
          <w:bCs/>
        </w:rPr>
        <w:tab/>
      </w:r>
      <w:r w:rsidR="00706CD4">
        <w:rPr>
          <w:b/>
          <w:bCs/>
        </w:rPr>
        <w:tab/>
      </w:r>
      <w:r>
        <w:rPr>
          <w:b/>
          <w:bCs/>
        </w:rPr>
        <w:tab/>
      </w:r>
      <w:r w:rsidR="00706CD4" w:rsidRPr="005C490C">
        <w:rPr>
          <w:b/>
          <w:bCs/>
        </w:rPr>
        <w:t xml:space="preserve">Trustees </w:t>
      </w:r>
      <w:r w:rsidR="000078A1">
        <w:rPr>
          <w:b/>
          <w:bCs/>
        </w:rPr>
        <w:t>Retiring</w:t>
      </w:r>
      <w:r w:rsidR="00706CD4" w:rsidRPr="005C490C">
        <w:rPr>
          <w:b/>
          <w:bCs/>
        </w:rPr>
        <w:t xml:space="preserve"> not in attendance</w:t>
      </w:r>
    </w:p>
    <w:p w14:paraId="34F332FE" w14:textId="127211E0" w:rsidR="005A427C" w:rsidRPr="00382483" w:rsidRDefault="00083563" w:rsidP="00AE0818">
      <w:r>
        <w:t>Andrew Beattie</w:t>
      </w:r>
      <w:r w:rsidR="005A427C" w:rsidRPr="00382483">
        <w:tab/>
      </w:r>
      <w:r w:rsidR="005A427C" w:rsidRPr="00382483">
        <w:tab/>
      </w:r>
      <w:r w:rsidR="005A427C" w:rsidRPr="00382483">
        <w:tab/>
      </w:r>
      <w:r w:rsidR="005A427C" w:rsidRPr="00382483">
        <w:tab/>
      </w:r>
      <w:r w:rsidR="005A427C" w:rsidRPr="00382483">
        <w:tab/>
      </w:r>
      <w:r w:rsidR="00706CD4" w:rsidRPr="00382483">
        <w:t>Gordon Vincent</w:t>
      </w:r>
    </w:p>
    <w:p w14:paraId="5258DADC" w14:textId="38091E63" w:rsidR="00706CD4" w:rsidRDefault="00706CD4" w:rsidP="00AE0818">
      <w:r>
        <w:t>Jason Gaskell</w:t>
      </w:r>
    </w:p>
    <w:p w14:paraId="70F80BF1" w14:textId="6C31ECDD" w:rsidR="00294BB2" w:rsidRDefault="00294BB2" w:rsidP="00AE0818">
      <w:r w:rsidRPr="00382483">
        <w:t>Chris Howard</w:t>
      </w:r>
      <w:r>
        <w:tab/>
      </w:r>
      <w:r>
        <w:tab/>
      </w:r>
      <w:r>
        <w:tab/>
      </w:r>
      <w:r>
        <w:tab/>
      </w:r>
      <w:r>
        <w:tab/>
      </w:r>
    </w:p>
    <w:p w14:paraId="76EF1C4D" w14:textId="571A0EFA" w:rsidR="005A427C" w:rsidRPr="00382483" w:rsidRDefault="00294BB2" w:rsidP="00AE0818">
      <w:r>
        <w:t>Ian Smith</w:t>
      </w:r>
      <w:r w:rsidR="00D6708A">
        <w:tab/>
      </w:r>
      <w:r w:rsidR="00D6708A">
        <w:tab/>
      </w:r>
      <w:r w:rsidR="005A427C" w:rsidRPr="00382483">
        <w:tab/>
      </w:r>
      <w:r w:rsidR="005A427C" w:rsidRPr="00382483">
        <w:tab/>
      </w:r>
      <w:r w:rsidR="005A427C" w:rsidRPr="00382483">
        <w:tab/>
      </w:r>
      <w:r w:rsidRPr="00382483">
        <w:tab/>
      </w:r>
    </w:p>
    <w:p w14:paraId="6B19E3D3" w14:textId="47E20EB1" w:rsidR="00706CD4" w:rsidRDefault="00706CD4" w:rsidP="00AE0818">
      <w:r>
        <w:t>Peter Smith</w:t>
      </w:r>
    </w:p>
    <w:p w14:paraId="465A75D7" w14:textId="2AFB4814" w:rsidR="00706CD4" w:rsidRDefault="00706CD4" w:rsidP="00AE0818">
      <w:r>
        <w:t>Peter Sutton</w:t>
      </w:r>
    </w:p>
    <w:p w14:paraId="2C4F13D6" w14:textId="5DBB0774" w:rsidR="00706CD4" w:rsidRDefault="00706CD4" w:rsidP="00AE0818">
      <w:r>
        <w:t>Mark Turner</w:t>
      </w:r>
    </w:p>
    <w:p w14:paraId="54E9AEF0" w14:textId="50DF9474" w:rsidR="009C7675" w:rsidRPr="00963FA5" w:rsidRDefault="005C490C" w:rsidP="00AE0818">
      <w:r>
        <w:t>P</w:t>
      </w:r>
      <w:r w:rsidR="00382483" w:rsidRPr="00382483">
        <w:t xml:space="preserve">am </w:t>
      </w:r>
      <w:proofErr w:type="spellStart"/>
      <w:r w:rsidR="00382483" w:rsidRPr="00382483">
        <w:t>Whyman</w:t>
      </w:r>
      <w:proofErr w:type="spellEnd"/>
      <w:r w:rsidR="00294BB2" w:rsidRPr="00294BB2">
        <w:t xml:space="preserve"> </w:t>
      </w:r>
      <w:r w:rsidR="00294BB2">
        <w:tab/>
      </w:r>
      <w:r w:rsidR="00294BB2">
        <w:tab/>
      </w:r>
      <w:r w:rsidR="00294BB2">
        <w:tab/>
      </w:r>
      <w:r w:rsidR="00294BB2">
        <w:tab/>
      </w:r>
      <w:r w:rsidR="00294BB2">
        <w:tab/>
      </w:r>
      <w:r w:rsidR="009C7675">
        <w:t xml:space="preserve"> </w:t>
      </w:r>
    </w:p>
    <w:p w14:paraId="488A1D25" w14:textId="42C7AB3E" w:rsidR="005A427C" w:rsidRDefault="005A427C" w:rsidP="00AE0818"/>
    <w:p w14:paraId="01015460" w14:textId="77777777" w:rsidR="00266A73" w:rsidRPr="00382483" w:rsidRDefault="00266A73" w:rsidP="00AE0818"/>
    <w:p w14:paraId="2A820B76" w14:textId="77CAA14E" w:rsidR="00083563" w:rsidRDefault="00A85C5A" w:rsidP="00AE0818">
      <w:r>
        <w:t xml:space="preserve">Angela Swarbrick (chair) </w:t>
      </w:r>
      <w:r w:rsidR="00CA3FB9" w:rsidRPr="00963FA5">
        <w:t xml:space="preserve">opened the meeting by welcoming </w:t>
      </w:r>
      <w:r w:rsidR="00357D77">
        <w:t>Members</w:t>
      </w:r>
      <w:r w:rsidR="00357D77" w:rsidRPr="00963FA5">
        <w:t xml:space="preserve"> </w:t>
      </w:r>
      <w:r w:rsidR="00CA3FB9" w:rsidRPr="00963FA5">
        <w:t xml:space="preserve">and </w:t>
      </w:r>
      <w:r w:rsidR="005C490C">
        <w:t xml:space="preserve">noting the meeting would be recorded.  </w:t>
      </w:r>
      <w:r w:rsidR="009C7675">
        <w:t>Q</w:t>
      </w:r>
      <w:r w:rsidR="005C490C">
        <w:t>uestions could be submitted using the Q&amp;A on screen (as demonstrated)</w:t>
      </w:r>
      <w:r w:rsidR="009C7675">
        <w:t xml:space="preserve"> at any time. As</w:t>
      </w:r>
      <w:r w:rsidR="005C490C">
        <w:t xml:space="preserve"> many </w:t>
      </w:r>
      <w:r w:rsidR="009C7675">
        <w:t xml:space="preserve">questions </w:t>
      </w:r>
      <w:r w:rsidR="005C490C">
        <w:t>as possible would be answered during the meeting,</w:t>
      </w:r>
      <w:r w:rsidR="00023D39">
        <w:t xml:space="preserve"> </w:t>
      </w:r>
      <w:r w:rsidR="009C7675">
        <w:t xml:space="preserve">and responses to any unanswered questions would be included in the Minutes. </w:t>
      </w:r>
      <w:r>
        <w:t>I</w:t>
      </w:r>
      <w:r w:rsidR="0050770D">
        <w:t xml:space="preserve">nstructions for live voting were explained, with poll results and proxy votes being combined to produce a provisional result. The </w:t>
      </w:r>
      <w:proofErr w:type="gramStart"/>
      <w:r w:rsidR="0050770D">
        <w:t>final results</w:t>
      </w:r>
      <w:proofErr w:type="gramEnd"/>
      <w:r w:rsidR="0050770D">
        <w:t xml:space="preserve"> of the </w:t>
      </w:r>
      <w:r>
        <w:t>voting</w:t>
      </w:r>
      <w:r w:rsidR="0050770D">
        <w:t xml:space="preserve"> would </w:t>
      </w:r>
      <w:r w:rsidR="00083563">
        <w:t>appear in the Minutes</w:t>
      </w:r>
      <w:r>
        <w:t xml:space="preserve"> </w:t>
      </w:r>
      <w:r w:rsidR="0050770D">
        <w:t xml:space="preserve">published on the website. </w:t>
      </w:r>
      <w:r w:rsidR="00083563">
        <w:t xml:space="preserve"> </w:t>
      </w:r>
    </w:p>
    <w:p w14:paraId="13D725DF" w14:textId="77777777" w:rsidR="00083563" w:rsidRDefault="00083563" w:rsidP="00AE0818"/>
    <w:p w14:paraId="77FD0933" w14:textId="2E377742" w:rsidR="00420537" w:rsidRPr="005915CA" w:rsidRDefault="00A85C5A" w:rsidP="00AE0818">
      <w:pPr>
        <w:rPr>
          <w:b/>
        </w:rPr>
      </w:pPr>
      <w:r w:rsidRPr="00A85C5A">
        <w:rPr>
          <w:b/>
        </w:rPr>
        <w:t xml:space="preserve">Change to Agenda – Item 5: </w:t>
      </w:r>
      <w:r w:rsidR="00420537" w:rsidRPr="00A85C5A">
        <w:rPr>
          <w:b/>
        </w:rPr>
        <w:t xml:space="preserve"> </w:t>
      </w:r>
      <w:r w:rsidRPr="00A85C5A">
        <w:rPr>
          <w:b/>
        </w:rPr>
        <w:t>Election and Re-election of Trustees</w:t>
      </w:r>
    </w:p>
    <w:p w14:paraId="7AEA356F" w14:textId="20EF1B7D" w:rsidR="00CA3FB9" w:rsidRDefault="00A85C5A" w:rsidP="00AE0818">
      <w:r>
        <w:t xml:space="preserve">One Trustee, </w:t>
      </w:r>
      <w:r w:rsidR="00083563">
        <w:t>Gordon Vincent</w:t>
      </w:r>
      <w:r>
        <w:t>, was due for re-election</w:t>
      </w:r>
      <w:r w:rsidR="00266A73">
        <w:t xml:space="preserve"> but had d</w:t>
      </w:r>
      <w:r w:rsidR="00083563">
        <w:t>ecided not to stand</w:t>
      </w:r>
      <w:r w:rsidR="00266A73">
        <w:t>.  W</w:t>
      </w:r>
      <w:r w:rsidR="00420537">
        <w:t>ith n</w:t>
      </w:r>
      <w:r w:rsidR="00083563">
        <w:t xml:space="preserve">o further Trustees seeking </w:t>
      </w:r>
      <w:r>
        <w:t xml:space="preserve">election or </w:t>
      </w:r>
      <w:r w:rsidR="00083563">
        <w:t>re-election</w:t>
      </w:r>
      <w:r w:rsidR="00420537">
        <w:t xml:space="preserve">, this item was cancelled from the </w:t>
      </w:r>
      <w:proofErr w:type="gramStart"/>
      <w:r w:rsidR="00420537">
        <w:t>Agenda</w:t>
      </w:r>
      <w:proofErr w:type="gramEnd"/>
      <w:r w:rsidR="00083563">
        <w:t xml:space="preserve">. </w:t>
      </w:r>
    </w:p>
    <w:p w14:paraId="0610D359" w14:textId="77777777" w:rsidR="00294BB2" w:rsidRDefault="00294BB2" w:rsidP="00AE0818"/>
    <w:p w14:paraId="125A294F" w14:textId="77777777" w:rsidR="00AE0818" w:rsidRDefault="00AE0818" w:rsidP="00AE0818">
      <w:pPr>
        <w:rPr>
          <w:b/>
        </w:rPr>
      </w:pPr>
    </w:p>
    <w:p w14:paraId="279FF96A" w14:textId="4CDF3B68" w:rsidR="00CA3FB9" w:rsidRPr="005915CA" w:rsidRDefault="00A85C5A" w:rsidP="00AE0818">
      <w:pPr>
        <w:rPr>
          <w:b/>
        </w:rPr>
      </w:pPr>
      <w:r w:rsidRPr="00A85C5A">
        <w:rPr>
          <w:b/>
        </w:rPr>
        <w:t>1</w:t>
      </w:r>
      <w:r w:rsidR="00A43458">
        <w:rPr>
          <w:b/>
        </w:rPr>
        <w:t>.</w:t>
      </w:r>
      <w:r w:rsidR="00CA3FB9" w:rsidRPr="00A85C5A">
        <w:rPr>
          <w:b/>
        </w:rPr>
        <w:tab/>
      </w:r>
      <w:r w:rsidRPr="00A85C5A">
        <w:rPr>
          <w:b/>
        </w:rPr>
        <w:t>Approval of the Minutes of the 2019 AGM</w:t>
      </w:r>
    </w:p>
    <w:p w14:paraId="3F302090" w14:textId="77777777" w:rsidR="00CA3FB9" w:rsidRPr="005915CA" w:rsidRDefault="00CA3FB9" w:rsidP="00AE0818"/>
    <w:p w14:paraId="14907D46" w14:textId="7B2A4727" w:rsidR="00420537" w:rsidRDefault="00CA3FB9" w:rsidP="00AE0818">
      <w:r w:rsidRPr="00963FA5">
        <w:t xml:space="preserve">The Minutes of the AGM </w:t>
      </w:r>
      <w:r w:rsidR="006B2D4B">
        <w:t>in</w:t>
      </w:r>
      <w:r w:rsidR="00915E08" w:rsidRPr="00963FA5">
        <w:t xml:space="preserve"> </w:t>
      </w:r>
      <w:r w:rsidR="006B2D4B">
        <w:t>November 201</w:t>
      </w:r>
      <w:r w:rsidR="00810216">
        <w:t>9</w:t>
      </w:r>
      <w:r w:rsidRPr="00963FA5">
        <w:t xml:space="preserve"> were </w:t>
      </w:r>
      <w:r w:rsidR="006B2D4B">
        <w:t xml:space="preserve">put forward for agreement having been provided to Members via the SWT website and </w:t>
      </w:r>
      <w:r w:rsidR="00810216">
        <w:t>on registration for the 2020 AGM.</w:t>
      </w:r>
      <w:r w:rsidR="006B2D4B">
        <w:t xml:space="preserve">  </w:t>
      </w:r>
      <w:r w:rsidR="00420537">
        <w:t xml:space="preserve">No comments or amendments had been submitted prior to the meeting. </w:t>
      </w:r>
    </w:p>
    <w:p w14:paraId="7C5F7DF2" w14:textId="77777777" w:rsidR="00420537" w:rsidRDefault="00420537" w:rsidP="00AE0818"/>
    <w:p w14:paraId="07797E1F" w14:textId="7FF684C6" w:rsidR="006B4855" w:rsidRPr="006B4855" w:rsidRDefault="00266A73" w:rsidP="00AE0818">
      <w:pPr>
        <w:rPr>
          <w:b/>
          <w:bCs/>
        </w:rPr>
      </w:pPr>
      <w:r>
        <w:rPr>
          <w:b/>
          <w:bCs/>
        </w:rPr>
        <w:t>Comments/q</w:t>
      </w:r>
      <w:r w:rsidR="006B4855" w:rsidRPr="006B4855">
        <w:rPr>
          <w:b/>
          <w:bCs/>
        </w:rPr>
        <w:t xml:space="preserve">uestions submitted </w:t>
      </w:r>
      <w:r>
        <w:rPr>
          <w:b/>
          <w:bCs/>
        </w:rPr>
        <w:t xml:space="preserve">live </w:t>
      </w:r>
      <w:r w:rsidR="006B4855" w:rsidRPr="006B4855">
        <w:rPr>
          <w:b/>
          <w:bCs/>
        </w:rPr>
        <w:t>online:</w:t>
      </w:r>
    </w:p>
    <w:p w14:paraId="17295C3D" w14:textId="77777777" w:rsidR="006B4855" w:rsidRDefault="006B4855" w:rsidP="00AE0818"/>
    <w:p w14:paraId="05D855D3" w14:textId="03BFD61A" w:rsidR="006B4855" w:rsidRPr="002C3201" w:rsidRDefault="006B4855" w:rsidP="00AE0818">
      <w:pPr>
        <w:rPr>
          <w:b/>
          <w:bCs/>
          <w:i/>
          <w:iCs/>
        </w:rPr>
      </w:pPr>
      <w:r w:rsidRPr="002C3201">
        <w:rPr>
          <w:b/>
          <w:bCs/>
          <w:i/>
          <w:iCs/>
        </w:rPr>
        <w:t>Martin D’Arcy: We never received AGM papers in the post.</w:t>
      </w:r>
    </w:p>
    <w:p w14:paraId="5C1674F9" w14:textId="51E95B5F" w:rsidR="006B4855" w:rsidRDefault="006B4855" w:rsidP="00AE0818">
      <w:r>
        <w:t xml:space="preserve">A:  It was confirmed that it was not usual procedure to post the papers to members.  Formal notice of the AGM/EGM was given in the </w:t>
      </w:r>
      <w:proofErr w:type="gramStart"/>
      <w:r>
        <w:t>Summer</w:t>
      </w:r>
      <w:proofErr w:type="gramEnd"/>
      <w:r>
        <w:t xml:space="preserve"> edition of Surrey Nature, papers were posted on the website and Members were emailed to advise them</w:t>
      </w:r>
      <w:r w:rsidR="002C3201">
        <w:t xml:space="preserve"> </w:t>
      </w:r>
      <w:r w:rsidR="00266A73">
        <w:t xml:space="preserve">the </w:t>
      </w:r>
      <w:r w:rsidR="002C3201">
        <w:t>papers were available</w:t>
      </w:r>
      <w:r w:rsidR="000146BC">
        <w:t>.</w:t>
      </w:r>
    </w:p>
    <w:p w14:paraId="6EB57652" w14:textId="77777777" w:rsidR="006B4855" w:rsidRDefault="006B4855" w:rsidP="00AE0818"/>
    <w:p w14:paraId="6E68BBCF" w14:textId="25D43158" w:rsidR="006B4855" w:rsidRPr="002C3201" w:rsidRDefault="006B4855" w:rsidP="00AE0818">
      <w:pPr>
        <w:rPr>
          <w:b/>
          <w:bCs/>
          <w:i/>
          <w:iCs/>
        </w:rPr>
      </w:pPr>
      <w:r w:rsidRPr="002C3201">
        <w:rPr>
          <w:b/>
          <w:bCs/>
          <w:i/>
          <w:iCs/>
        </w:rPr>
        <w:lastRenderedPageBreak/>
        <w:t>Martin Walsh: I think the articles may require a postal option for those without e-mail access.</w:t>
      </w:r>
    </w:p>
    <w:p w14:paraId="57F364F3" w14:textId="38E4C0D1" w:rsidR="00420537" w:rsidRDefault="006B4855" w:rsidP="00AE0818">
      <w:r>
        <w:t xml:space="preserve">A:  </w:t>
      </w:r>
      <w:r w:rsidR="000146BC">
        <w:t xml:space="preserve">It would be very costly to post papers to all </w:t>
      </w:r>
      <w:proofErr w:type="gramStart"/>
      <w:r w:rsidR="000146BC">
        <w:t>Members</w:t>
      </w:r>
      <w:proofErr w:type="gramEnd"/>
      <w:r w:rsidR="000146BC">
        <w:t xml:space="preserve"> </w:t>
      </w:r>
      <w:r w:rsidR="00420537">
        <w:t xml:space="preserve">but individual arrangements could be </w:t>
      </w:r>
      <w:r w:rsidR="000146BC">
        <w:t>made</w:t>
      </w:r>
      <w:r w:rsidR="00420537">
        <w:t xml:space="preserve"> </w:t>
      </w:r>
      <w:r w:rsidR="00266A73">
        <w:t xml:space="preserve">for Members </w:t>
      </w:r>
      <w:r w:rsidR="00420537">
        <w:t>as required</w:t>
      </w:r>
      <w:r w:rsidR="000146BC">
        <w:t xml:space="preserve"> going forward</w:t>
      </w:r>
      <w:r w:rsidR="00420537">
        <w:t xml:space="preserve">. </w:t>
      </w:r>
    </w:p>
    <w:p w14:paraId="2F8001E3" w14:textId="5CD53F80" w:rsidR="002C3201" w:rsidRDefault="002C3201" w:rsidP="00AE0818"/>
    <w:p w14:paraId="119C3255" w14:textId="39E72A15" w:rsidR="002C3201" w:rsidRPr="002C3201" w:rsidRDefault="002C3201" w:rsidP="00AE0818">
      <w:pPr>
        <w:rPr>
          <w:b/>
          <w:bCs/>
          <w:i/>
          <w:iCs/>
        </w:rPr>
      </w:pPr>
      <w:r w:rsidRPr="002C3201">
        <w:rPr>
          <w:b/>
          <w:bCs/>
          <w:i/>
          <w:iCs/>
        </w:rPr>
        <w:t>Martin D’Arcy: We never received an email with a link in it either.</w:t>
      </w:r>
    </w:p>
    <w:p w14:paraId="7BF1E9C3" w14:textId="36ABD9C5" w:rsidR="002C3201" w:rsidRDefault="002C3201" w:rsidP="00AE0818">
      <w:r>
        <w:t xml:space="preserve">A:  The email did not contain a link, but advised the papers were available. </w:t>
      </w:r>
    </w:p>
    <w:p w14:paraId="5A8985DE" w14:textId="77777777" w:rsidR="000146BC" w:rsidRDefault="000146BC" w:rsidP="00AE0818"/>
    <w:p w14:paraId="3D1EC43A" w14:textId="4405C464" w:rsidR="000146BC" w:rsidRPr="002C3201" w:rsidRDefault="000146BC" w:rsidP="00AE0818">
      <w:pPr>
        <w:rPr>
          <w:b/>
          <w:bCs/>
          <w:i/>
          <w:iCs/>
        </w:rPr>
      </w:pPr>
      <w:r w:rsidRPr="002C3201">
        <w:rPr>
          <w:b/>
          <w:bCs/>
          <w:i/>
          <w:iCs/>
        </w:rPr>
        <w:t>Elizabeth Wild: I also did not receive any papers, so I will abstain.  Please could you point us to where the papers can be found on the SWT website?</w:t>
      </w:r>
    </w:p>
    <w:p w14:paraId="743E4B46" w14:textId="634E4BA1" w:rsidR="000146BC" w:rsidRDefault="000146BC" w:rsidP="00AE0818">
      <w:r w:rsidRPr="000146BC">
        <w:rPr>
          <w:rFonts w:cstheme="minorHAnsi"/>
        </w:rPr>
        <w:t xml:space="preserve">A: </w:t>
      </w:r>
      <w:r>
        <w:rPr>
          <w:rFonts w:cstheme="minorHAnsi"/>
        </w:rPr>
        <w:t>It was confirmed p</w:t>
      </w:r>
      <w:r w:rsidRPr="000146BC">
        <w:rPr>
          <w:rFonts w:cstheme="minorHAnsi"/>
        </w:rPr>
        <w:t>apers c</w:t>
      </w:r>
      <w:r w:rsidR="009D2706">
        <w:rPr>
          <w:rFonts w:cstheme="minorHAnsi"/>
        </w:rPr>
        <w:t xml:space="preserve">ould </w:t>
      </w:r>
      <w:r w:rsidRPr="000146BC">
        <w:rPr>
          <w:rFonts w:cstheme="minorHAnsi"/>
        </w:rPr>
        <w:t>be found</w:t>
      </w:r>
      <w:r w:rsidR="0034126F">
        <w:rPr>
          <w:rFonts w:cstheme="minorHAnsi"/>
        </w:rPr>
        <w:t xml:space="preserve"> in the “About us” section</w:t>
      </w:r>
      <w:r w:rsidRPr="000146BC">
        <w:rPr>
          <w:rFonts w:cstheme="minorHAnsi"/>
        </w:rPr>
        <w:t xml:space="preserve"> </w:t>
      </w:r>
      <w:r w:rsidR="0034126F">
        <w:rPr>
          <w:rFonts w:cstheme="minorHAnsi"/>
        </w:rPr>
        <w:t>in</w:t>
      </w:r>
      <w:r w:rsidR="009D2706">
        <w:rPr>
          <w:rFonts w:cstheme="minorHAnsi"/>
        </w:rPr>
        <w:t xml:space="preserve">: </w:t>
      </w:r>
      <w:hyperlink r:id="rId7" w:history="1">
        <w:r w:rsidR="009D2706">
          <w:rPr>
            <w:rStyle w:val="Hyperlink"/>
          </w:rPr>
          <w:t>Governance | Surrey Wildlife Trust</w:t>
        </w:r>
      </w:hyperlink>
    </w:p>
    <w:p w14:paraId="6CE32765" w14:textId="79CE26D7" w:rsidR="000146BC" w:rsidRDefault="000146BC" w:rsidP="00AE0818"/>
    <w:p w14:paraId="40B9C03F" w14:textId="4B23E4D4" w:rsidR="007C1AC9" w:rsidRDefault="00266A73" w:rsidP="00AE0818">
      <w:r>
        <w:t xml:space="preserve">There being no further </w:t>
      </w:r>
      <w:r w:rsidR="00A43458">
        <w:t xml:space="preserve">questions or </w:t>
      </w:r>
      <w:r>
        <w:t>comments, a</w:t>
      </w:r>
      <w:r w:rsidR="00420537">
        <w:t xml:space="preserve">n ordinary resolution to approve the minutes as an accurate record was taken via a poll launched on screen. Roger Wild, as Company Secretary, announced the </w:t>
      </w:r>
      <w:r w:rsidR="007C1AC9">
        <w:t xml:space="preserve">preliminary result, </w:t>
      </w:r>
      <w:r>
        <w:t>which included</w:t>
      </w:r>
      <w:r w:rsidR="007C1AC9">
        <w:t xml:space="preserve"> the 72 proxy votes received prior to the meeting: </w:t>
      </w:r>
    </w:p>
    <w:p w14:paraId="773CA313" w14:textId="77777777" w:rsidR="007C1AC9" w:rsidRDefault="007C1AC9" w:rsidP="00AE0818"/>
    <w:p w14:paraId="0704DB32" w14:textId="77777777" w:rsidR="007C1AC9" w:rsidRDefault="007C1AC9" w:rsidP="00AE0818">
      <w:r>
        <w:t>T</w:t>
      </w:r>
      <w:r w:rsidR="00420537">
        <w:t xml:space="preserve">otal </w:t>
      </w:r>
      <w:r>
        <w:t xml:space="preserve">votes: </w:t>
      </w:r>
      <w:r>
        <w:tab/>
      </w:r>
      <w:r w:rsidR="00420537">
        <w:t xml:space="preserve">113 </w:t>
      </w:r>
    </w:p>
    <w:p w14:paraId="7291AC16" w14:textId="77777777" w:rsidR="007C1AC9" w:rsidRDefault="007C1AC9" w:rsidP="00AE0818">
      <w:r>
        <w:t>In favour:</w:t>
      </w:r>
      <w:r>
        <w:tab/>
        <w:t>109</w:t>
      </w:r>
    </w:p>
    <w:p w14:paraId="270A6C77" w14:textId="77777777" w:rsidR="007C1AC9" w:rsidRDefault="007C1AC9" w:rsidP="00AE0818">
      <w:r>
        <w:t>Against:</w:t>
      </w:r>
      <w:r>
        <w:tab/>
        <w:t xml:space="preserve">     1</w:t>
      </w:r>
    </w:p>
    <w:p w14:paraId="2E7991B8" w14:textId="77777777" w:rsidR="007C1AC9" w:rsidRDefault="007C1AC9" w:rsidP="00AE0818">
      <w:r>
        <w:t>Withheld:</w:t>
      </w:r>
      <w:r>
        <w:tab/>
        <w:t xml:space="preserve">     3</w:t>
      </w:r>
    </w:p>
    <w:p w14:paraId="63F3F08A" w14:textId="77777777" w:rsidR="007C1AC9" w:rsidRDefault="007C1AC9" w:rsidP="00AE0818"/>
    <w:p w14:paraId="6E669107" w14:textId="75037C69" w:rsidR="00EA76A4" w:rsidRDefault="007C1AC9" w:rsidP="00AE0818">
      <w:r w:rsidRPr="00EA76A4">
        <w:rPr>
          <w:b/>
          <w:bCs/>
        </w:rPr>
        <w:t>T</w:t>
      </w:r>
      <w:r w:rsidR="00420537" w:rsidRPr="00EA76A4">
        <w:rPr>
          <w:b/>
          <w:bCs/>
        </w:rPr>
        <w:t xml:space="preserve">he </w:t>
      </w:r>
      <w:r w:rsidRPr="00EA76A4">
        <w:rPr>
          <w:b/>
          <w:bCs/>
        </w:rPr>
        <w:t xml:space="preserve">motion </w:t>
      </w:r>
      <w:r w:rsidR="0034126F" w:rsidRPr="00EA76A4">
        <w:rPr>
          <w:b/>
          <w:bCs/>
        </w:rPr>
        <w:t xml:space="preserve">to approve the 2019 AGM minutes </w:t>
      </w:r>
      <w:r w:rsidRPr="00EA76A4">
        <w:rPr>
          <w:b/>
          <w:bCs/>
        </w:rPr>
        <w:t xml:space="preserve">was </w:t>
      </w:r>
      <w:r w:rsidR="00EA76A4">
        <w:rPr>
          <w:b/>
          <w:bCs/>
        </w:rPr>
        <w:t>approved</w:t>
      </w:r>
      <w:r w:rsidR="00420537" w:rsidRPr="00EA76A4">
        <w:rPr>
          <w:b/>
          <w:bCs/>
        </w:rPr>
        <w:t>.</w:t>
      </w:r>
      <w:r w:rsidR="00420537">
        <w:t xml:space="preserve">  </w:t>
      </w:r>
    </w:p>
    <w:p w14:paraId="1C69DD15" w14:textId="77777777" w:rsidR="00EA76A4" w:rsidRDefault="00EA76A4" w:rsidP="00AE0818"/>
    <w:p w14:paraId="7DB1E631" w14:textId="6FD6BEFD" w:rsidR="00420537" w:rsidRDefault="007C1AC9" w:rsidP="00AE0818">
      <w:r>
        <w:t xml:space="preserve">Final </w:t>
      </w:r>
      <w:r w:rsidR="00A85C5A">
        <w:t xml:space="preserve">voting </w:t>
      </w:r>
      <w:r>
        <w:t xml:space="preserve">results would be published in the Minutes following checks to ensure no double voting had occurred. </w:t>
      </w:r>
    </w:p>
    <w:p w14:paraId="320CEA01" w14:textId="77777777" w:rsidR="007C1AC9" w:rsidRDefault="007C1AC9" w:rsidP="00AE0818"/>
    <w:p w14:paraId="633F26FC" w14:textId="77777777" w:rsidR="0034126F" w:rsidRDefault="0034126F" w:rsidP="00AE0818">
      <w:pPr>
        <w:rPr>
          <w:b/>
          <w:bCs/>
        </w:rPr>
      </w:pPr>
    </w:p>
    <w:p w14:paraId="0E0B41C8" w14:textId="7F726950" w:rsidR="00115FCD" w:rsidRPr="00115FCD" w:rsidRDefault="00115FCD" w:rsidP="00AE0818">
      <w:pPr>
        <w:rPr>
          <w:b/>
          <w:bCs/>
        </w:rPr>
      </w:pPr>
      <w:r w:rsidRPr="00115FCD">
        <w:rPr>
          <w:b/>
          <w:bCs/>
        </w:rPr>
        <w:t>2.</w:t>
      </w:r>
      <w:r w:rsidRPr="00115FCD">
        <w:rPr>
          <w:b/>
          <w:bCs/>
        </w:rPr>
        <w:tab/>
        <w:t>Approval of the Minutes of the 2019 EGM</w:t>
      </w:r>
    </w:p>
    <w:p w14:paraId="17E4593F" w14:textId="39CCB6E4" w:rsidR="00963AFE" w:rsidRDefault="00963AFE" w:rsidP="00AE0818">
      <w:pPr>
        <w:rPr>
          <w:b/>
        </w:rPr>
      </w:pPr>
    </w:p>
    <w:p w14:paraId="7D91243D" w14:textId="539818A3" w:rsidR="00115FCD" w:rsidRDefault="00102305" w:rsidP="00AE0818">
      <w:r w:rsidRPr="00963FA5">
        <w:t xml:space="preserve">The Minutes of the </w:t>
      </w:r>
      <w:r>
        <w:t>E</w:t>
      </w:r>
      <w:r w:rsidRPr="00963FA5">
        <w:t xml:space="preserve">GM </w:t>
      </w:r>
      <w:r>
        <w:t>in</w:t>
      </w:r>
      <w:r w:rsidRPr="00963FA5">
        <w:t xml:space="preserve"> </w:t>
      </w:r>
      <w:r>
        <w:t>November 2019</w:t>
      </w:r>
      <w:r w:rsidRPr="00963FA5">
        <w:t xml:space="preserve"> were </w:t>
      </w:r>
      <w:r>
        <w:t xml:space="preserve">put forward for agreement having been provided to Members via the SWT website and on registration for the 2020 AGM.  </w:t>
      </w:r>
      <w:r w:rsidR="0034126F">
        <w:t>Members were invited to submit any questions/comments</w:t>
      </w:r>
      <w:r w:rsidR="00FC1685">
        <w:t>/amendments</w:t>
      </w:r>
      <w:r w:rsidR="0034126F">
        <w:t xml:space="preserve">.  </w:t>
      </w:r>
      <w:r>
        <w:t xml:space="preserve">Four comments had been received from Member Martin Walsh prior to this meeting </w:t>
      </w:r>
      <w:r w:rsidR="004B1B35">
        <w:t xml:space="preserve">requesting amendments, </w:t>
      </w:r>
      <w:r>
        <w:t>as follows:</w:t>
      </w:r>
    </w:p>
    <w:p w14:paraId="1DC27AD8" w14:textId="48EF7614" w:rsidR="00102305" w:rsidRDefault="00102305" w:rsidP="00AE0818"/>
    <w:p w14:paraId="54ECEA1E" w14:textId="1EEF286E" w:rsidR="0075425B" w:rsidRPr="0075425B" w:rsidRDefault="004B1B35" w:rsidP="0075425B">
      <w:pPr>
        <w:pStyle w:val="ListParagraph"/>
        <w:numPr>
          <w:ilvl w:val="5"/>
          <w:numId w:val="38"/>
        </w:numPr>
        <w:ind w:left="426"/>
        <w:rPr>
          <w:rFonts w:eastAsia="Times New Roman"/>
          <w:i/>
          <w:iCs/>
          <w:color w:val="000000"/>
          <w:sz w:val="24"/>
          <w:szCs w:val="24"/>
        </w:rPr>
      </w:pPr>
      <w:r w:rsidRPr="0075425B">
        <w:rPr>
          <w:b/>
          <w:i/>
          <w:iCs/>
        </w:rPr>
        <w:t xml:space="preserve">Martin Walsh: </w:t>
      </w:r>
      <w:r w:rsidR="0075425B" w:rsidRPr="0075425B">
        <w:rPr>
          <w:rFonts w:eastAsia="Times New Roman"/>
          <w:i/>
          <w:iCs/>
          <w:color w:val="000000"/>
          <w:sz w:val="24"/>
          <w:szCs w:val="24"/>
          <w:shd w:val="clear" w:color="auto" w:fill="FFFFFF"/>
        </w:rPr>
        <w:t>The record of </w:t>
      </w:r>
      <w:r w:rsidR="0075425B" w:rsidRPr="0075425B">
        <w:rPr>
          <w:i/>
          <w:iCs/>
        </w:rPr>
        <w:t>member statements must be amended at pages 2 and 3, as both records are perceived to overstate any support there may have been for the trustee's actions.  The member recorded at page 2 has told me they find the minutes contradictory; and confirmed their support was stated to be for the proposal at 35 members.  "1% was a good measure going forward" is not the correct summary of their input and must be struck out.   I think the other member said "could" rather than "would" and I recommend that change also be made.</w:t>
      </w:r>
    </w:p>
    <w:p w14:paraId="2AA86269" w14:textId="1FDE6BE6" w:rsidR="00FC1685" w:rsidRDefault="004B1B35" w:rsidP="00F56C73">
      <w:pPr>
        <w:pStyle w:val="ListParagraph"/>
        <w:numPr>
          <w:ilvl w:val="0"/>
          <w:numId w:val="26"/>
        </w:numPr>
        <w:tabs>
          <w:tab w:val="left" w:pos="426"/>
          <w:tab w:val="left" w:pos="1134"/>
        </w:tabs>
      </w:pPr>
      <w:r w:rsidRPr="0075425B">
        <w:rPr>
          <w:b/>
        </w:rPr>
        <w:t>A:</w:t>
      </w:r>
      <w:r w:rsidR="00FC1685" w:rsidRPr="0075425B">
        <w:rPr>
          <w:b/>
        </w:rPr>
        <w:t xml:space="preserve"> </w:t>
      </w:r>
      <w:r w:rsidR="00FC1685" w:rsidRPr="0075425B">
        <w:rPr>
          <w:bCs/>
        </w:rPr>
        <w:t xml:space="preserve"> Members </w:t>
      </w:r>
      <w:r w:rsidR="00FC1685">
        <w:t>were referred to the minutes, page 2, 4</w:t>
      </w:r>
      <w:r w:rsidR="00FC1685" w:rsidRPr="0075425B">
        <w:rPr>
          <w:vertAlign w:val="superscript"/>
        </w:rPr>
        <w:t>th</w:t>
      </w:r>
      <w:r w:rsidR="00FC1685">
        <w:t xml:space="preserve"> paragraph starting with “A member stated”.  The amendment proposed </w:t>
      </w:r>
      <w:r w:rsidR="00266A73">
        <w:t>wa</w:t>
      </w:r>
      <w:r w:rsidR="00FC1685">
        <w:t>s at the end of the paragraph</w:t>
      </w:r>
      <w:r w:rsidR="00BD0946">
        <w:t>:</w:t>
      </w:r>
      <w:r w:rsidR="00FC1685">
        <w:t xml:space="preserve"> “and that 1% was a good measure going forward”. </w:t>
      </w:r>
      <w:r w:rsidR="00266A73">
        <w:t xml:space="preserve"> </w:t>
      </w:r>
      <w:r w:rsidR="00FC1685">
        <w:t xml:space="preserve">Mr Walsh’s amendment requested that be struck out so the last sentence would then read “a requirement of 250 members did not sound a lot but they felt Mr Walsh’s point did have validity”.  </w:t>
      </w:r>
      <w:r w:rsidR="00BD0946">
        <w:t>This a</w:t>
      </w:r>
      <w:r w:rsidR="00FC1685">
        <w:t xml:space="preserve">mendment </w:t>
      </w:r>
      <w:r w:rsidR="00BD0946">
        <w:t xml:space="preserve">was </w:t>
      </w:r>
      <w:r w:rsidR="00FC1685">
        <w:t>accepted.</w:t>
      </w:r>
    </w:p>
    <w:p w14:paraId="18D4172F" w14:textId="7CEDB3E3" w:rsidR="00FC1685" w:rsidRDefault="00FC1685" w:rsidP="00AE0818">
      <w:pPr>
        <w:pStyle w:val="ListParagraph"/>
        <w:numPr>
          <w:ilvl w:val="0"/>
          <w:numId w:val="26"/>
        </w:numPr>
        <w:tabs>
          <w:tab w:val="left" w:pos="426"/>
        </w:tabs>
      </w:pPr>
      <w:r w:rsidRPr="00FC1685">
        <w:rPr>
          <w:b/>
        </w:rPr>
        <w:t>A:</w:t>
      </w:r>
      <w:r>
        <w:t xml:space="preserve">  Members were referred to page 3 of the minutes, 4</w:t>
      </w:r>
      <w:r w:rsidRPr="00FC1685">
        <w:rPr>
          <w:vertAlign w:val="superscript"/>
        </w:rPr>
        <w:t>th</w:t>
      </w:r>
      <w:r>
        <w:t xml:space="preserve"> paragraph: “a member stated that”. The amendment proposed was in the 4</w:t>
      </w:r>
      <w:r w:rsidRPr="00FC1685">
        <w:rPr>
          <w:vertAlign w:val="superscript"/>
        </w:rPr>
        <w:t>th</w:t>
      </w:r>
      <w:r>
        <w:t xml:space="preserve"> line of that paragraph the word ‘would’ be replaced with ‘could’.  </w:t>
      </w:r>
      <w:r w:rsidR="00BD0946">
        <w:t>This a</w:t>
      </w:r>
      <w:r>
        <w:t xml:space="preserve">mendment </w:t>
      </w:r>
      <w:r w:rsidR="00BD0946">
        <w:t xml:space="preserve">was </w:t>
      </w:r>
      <w:r>
        <w:t>accepted.</w:t>
      </w:r>
    </w:p>
    <w:p w14:paraId="28F312BA" w14:textId="77777777" w:rsidR="00AE0818" w:rsidRDefault="00AE0818" w:rsidP="006A42EE">
      <w:pPr>
        <w:pStyle w:val="ListParagraph"/>
        <w:tabs>
          <w:tab w:val="left" w:pos="426"/>
        </w:tabs>
        <w:ind w:left="1080"/>
      </w:pPr>
    </w:p>
    <w:p w14:paraId="1FDC9568" w14:textId="0D89D26D" w:rsidR="0075425B" w:rsidRPr="0075425B" w:rsidRDefault="00DC0474" w:rsidP="0075425B">
      <w:pPr>
        <w:pStyle w:val="ListParagraph"/>
        <w:numPr>
          <w:ilvl w:val="0"/>
          <w:numId w:val="39"/>
        </w:numPr>
        <w:rPr>
          <w:rFonts w:eastAsia="Times New Roman"/>
          <w:i/>
          <w:iCs/>
          <w:color w:val="000000"/>
          <w:sz w:val="24"/>
          <w:szCs w:val="24"/>
        </w:rPr>
      </w:pPr>
      <w:r w:rsidRPr="0075425B">
        <w:rPr>
          <w:b/>
          <w:i/>
          <w:iCs/>
        </w:rPr>
        <w:lastRenderedPageBreak/>
        <w:t xml:space="preserve">Martin Walsh: </w:t>
      </w:r>
      <w:r w:rsidR="0075425B" w:rsidRPr="0075425B">
        <w:rPr>
          <w:b/>
          <w:i/>
          <w:iCs/>
        </w:rPr>
        <w:t xml:space="preserve">  </w:t>
      </w:r>
      <w:r w:rsidR="0075425B" w:rsidRPr="0075425B">
        <w:rPr>
          <w:bCs/>
          <w:i/>
          <w:iCs/>
        </w:rPr>
        <w:t xml:space="preserve"> </w:t>
      </w:r>
      <w:r w:rsidR="0075425B" w:rsidRPr="0075425B">
        <w:rPr>
          <w:rFonts w:eastAsia="Times New Roman"/>
          <w:i/>
          <w:iCs/>
          <w:color w:val="000000"/>
          <w:sz w:val="24"/>
          <w:szCs w:val="24"/>
          <w:shd w:val="clear" w:color="auto" w:fill="FFFFFF"/>
        </w:rPr>
        <w:t>My own statement at page 2 should be recorded as "</w:t>
      </w:r>
      <w:proofErr w:type="gramStart"/>
      <w:r w:rsidR="0075425B" w:rsidRPr="0075425B">
        <w:rPr>
          <w:rFonts w:eastAsia="Times New Roman"/>
          <w:i/>
          <w:iCs/>
          <w:color w:val="000000"/>
          <w:sz w:val="24"/>
          <w:szCs w:val="24"/>
          <w:shd w:val="clear" w:color="auto" w:fill="FFFFFF"/>
        </w:rPr>
        <w:t>....important</w:t>
      </w:r>
      <w:proofErr w:type="gramEnd"/>
      <w:r w:rsidR="0075425B" w:rsidRPr="0075425B">
        <w:rPr>
          <w:rFonts w:eastAsia="Times New Roman"/>
          <w:i/>
          <w:iCs/>
          <w:color w:val="000000"/>
          <w:sz w:val="24"/>
          <w:szCs w:val="24"/>
          <w:shd w:val="clear" w:color="auto" w:fill="FFFFFF"/>
        </w:rPr>
        <w:t xml:space="preserve"> </w:t>
      </w:r>
      <w:r w:rsidR="0075425B" w:rsidRPr="0075425B">
        <w:rPr>
          <w:rFonts w:eastAsia="Times New Roman"/>
          <w:i/>
          <w:iCs/>
          <w:color w:val="000000"/>
          <w:sz w:val="24"/>
          <w:szCs w:val="24"/>
          <w:u w:val="single"/>
          <w:shd w:val="clear" w:color="auto" w:fill="FFFFFF"/>
        </w:rPr>
        <w:t>and time critical</w:t>
      </w:r>
      <w:r w:rsidR="0075425B" w:rsidRPr="0075425B">
        <w:rPr>
          <w:rFonts w:eastAsia="Times New Roman"/>
          <w:i/>
          <w:iCs/>
          <w:color w:val="000000"/>
          <w:sz w:val="24"/>
          <w:szCs w:val="24"/>
          <w:shd w:val="clear" w:color="auto" w:fill="FFFFFF"/>
        </w:rPr>
        <w:t> topic....."</w:t>
      </w:r>
    </w:p>
    <w:p w14:paraId="2E73362F" w14:textId="6C5C757E" w:rsidR="00DC0474" w:rsidRPr="0075425B" w:rsidRDefault="00DC0474" w:rsidP="0075425B">
      <w:pPr>
        <w:ind w:left="360"/>
        <w:rPr>
          <w:i/>
          <w:iCs/>
        </w:rPr>
      </w:pPr>
    </w:p>
    <w:p w14:paraId="49C5CCAF" w14:textId="659F100E" w:rsidR="008503C8" w:rsidRDefault="00DC0474" w:rsidP="00E3289C">
      <w:pPr>
        <w:pStyle w:val="ListParagraph"/>
        <w:numPr>
          <w:ilvl w:val="2"/>
          <w:numId w:val="33"/>
        </w:numPr>
        <w:tabs>
          <w:tab w:val="left" w:pos="426"/>
          <w:tab w:val="left" w:pos="1134"/>
        </w:tabs>
        <w:ind w:left="1134" w:hanging="425"/>
      </w:pPr>
      <w:r w:rsidRPr="00E3289C">
        <w:rPr>
          <w:b/>
          <w:bCs/>
        </w:rPr>
        <w:t>A:</w:t>
      </w:r>
      <w:r w:rsidRPr="00DC0474">
        <w:t xml:space="preserve">  </w:t>
      </w:r>
      <w:r>
        <w:t xml:space="preserve">Members were referred to </w:t>
      </w:r>
      <w:r w:rsidRPr="00DC0474">
        <w:t>page 2, 2nd para</w:t>
      </w:r>
      <w:r>
        <w:t>graph commencing “</w:t>
      </w:r>
      <w:r w:rsidRPr="00DC0474">
        <w:t>Martin Walsh, member</w:t>
      </w:r>
      <w:r>
        <w:t>”</w:t>
      </w:r>
      <w:r w:rsidRPr="00DC0474">
        <w:t xml:space="preserve">. </w:t>
      </w:r>
      <w:r>
        <w:t xml:space="preserve"> The propos</w:t>
      </w:r>
      <w:r w:rsidR="008503C8">
        <w:t xml:space="preserve">ed amendment </w:t>
      </w:r>
      <w:r>
        <w:t xml:space="preserve">was that the </w:t>
      </w:r>
      <w:r w:rsidRPr="00DC0474">
        <w:t xml:space="preserve">8th line </w:t>
      </w:r>
      <w:r>
        <w:t>should include</w:t>
      </w:r>
      <w:r w:rsidR="008503C8">
        <w:t xml:space="preserve"> the words</w:t>
      </w:r>
      <w:r>
        <w:t xml:space="preserve"> </w:t>
      </w:r>
      <w:r w:rsidRPr="00DC0474">
        <w:t>‘and time critical</w:t>
      </w:r>
      <w:r w:rsidR="008503C8">
        <w:t xml:space="preserve">’.  </w:t>
      </w:r>
      <w:r w:rsidR="00BD0946">
        <w:t>This a</w:t>
      </w:r>
      <w:r w:rsidR="008503C8">
        <w:t xml:space="preserve">mendment </w:t>
      </w:r>
      <w:r w:rsidR="00BD0946">
        <w:t xml:space="preserve">was </w:t>
      </w:r>
      <w:r w:rsidR="008503C8">
        <w:t>accepted.</w:t>
      </w:r>
    </w:p>
    <w:p w14:paraId="7703F3A4" w14:textId="77777777" w:rsidR="00BD0946" w:rsidRDefault="00BD0946" w:rsidP="00AE0818">
      <w:pPr>
        <w:tabs>
          <w:tab w:val="left" w:pos="426"/>
          <w:tab w:val="left" w:pos="709"/>
        </w:tabs>
        <w:ind w:left="709" w:hanging="425"/>
      </w:pPr>
    </w:p>
    <w:p w14:paraId="5E931583" w14:textId="767903CA" w:rsidR="0075425B" w:rsidRPr="0070560E" w:rsidRDefault="008503C8" w:rsidP="0075425B">
      <w:pPr>
        <w:pStyle w:val="ListParagraph"/>
        <w:numPr>
          <w:ilvl w:val="5"/>
          <w:numId w:val="40"/>
        </w:numPr>
        <w:ind w:left="709"/>
        <w:rPr>
          <w:rFonts w:eastAsia="Times New Roman"/>
          <w:i/>
          <w:iCs/>
          <w:color w:val="000000"/>
          <w:sz w:val="24"/>
          <w:szCs w:val="24"/>
        </w:rPr>
      </w:pPr>
      <w:r w:rsidRPr="0075425B">
        <w:rPr>
          <w:b/>
          <w:bCs/>
          <w:i/>
          <w:iCs/>
        </w:rPr>
        <w:t>Martin Walsh:</w:t>
      </w:r>
      <w:r w:rsidRPr="0075425B">
        <w:rPr>
          <w:i/>
          <w:iCs/>
        </w:rPr>
        <w:t xml:space="preserve"> </w:t>
      </w:r>
      <w:r w:rsidR="0075425B" w:rsidRPr="0075425B">
        <w:rPr>
          <w:rFonts w:eastAsia="Times New Roman"/>
          <w:i/>
          <w:iCs/>
          <w:color w:val="000000"/>
          <w:sz w:val="24"/>
          <w:szCs w:val="24"/>
          <w:shd w:val="clear" w:color="auto" w:fill="FFFFFF"/>
        </w:rPr>
        <w:t>There must be inclusion of a post meeting note in the EGM minutes (</w:t>
      </w:r>
      <w:r w:rsidR="0075425B" w:rsidRPr="0075425B">
        <w:rPr>
          <w:i/>
          <w:iCs/>
          <w:u w:val="single"/>
        </w:rPr>
        <w:t xml:space="preserve">not </w:t>
      </w:r>
      <w:r w:rsidR="0075425B" w:rsidRPr="0070560E">
        <w:rPr>
          <w:i/>
          <w:iCs/>
          <w:u w:val="single"/>
        </w:rPr>
        <w:t>just those of the 2020 AGM)</w:t>
      </w:r>
      <w:r w:rsidR="0075425B" w:rsidRPr="0070560E">
        <w:rPr>
          <w:i/>
          <w:iCs/>
        </w:rPr>
        <w:t xml:space="preserve">.  The note must clearly state that retrospectively the chair acknowledges holding the vote as proposed and potentially setting aside the Special Resolution would have been in order; and that to have done so would not </w:t>
      </w:r>
      <w:proofErr w:type="gramStart"/>
      <w:r w:rsidR="00D3562D">
        <w:rPr>
          <w:i/>
          <w:iCs/>
        </w:rPr>
        <w:t>of</w:t>
      </w:r>
      <w:proofErr w:type="gramEnd"/>
      <w:r w:rsidR="00D3562D">
        <w:rPr>
          <w:i/>
          <w:iCs/>
        </w:rPr>
        <w:t xml:space="preserve"> incommoded* </w:t>
      </w:r>
      <w:r w:rsidR="0075425B" w:rsidRPr="0070560E">
        <w:rPr>
          <w:i/>
          <w:iCs/>
        </w:rPr>
        <w:t>the trust mission or day to day operations.</w:t>
      </w:r>
      <w:r w:rsidR="00D3562D">
        <w:rPr>
          <w:i/>
          <w:iCs/>
        </w:rPr>
        <w:br/>
      </w:r>
      <w:r w:rsidR="007C1DB6">
        <w:rPr>
          <w:sz w:val="20"/>
          <w:szCs w:val="20"/>
        </w:rPr>
        <w:t xml:space="preserve">(* Clarification made following 2022 AGM: </w:t>
      </w:r>
      <w:r w:rsidR="00D3562D" w:rsidRPr="00D3562D">
        <w:rPr>
          <w:sz w:val="20"/>
          <w:szCs w:val="20"/>
        </w:rPr>
        <w:t xml:space="preserve">Martin Walsh used the words ‘of incommoded’ in his written question. When reading out the question the Chair used the words ‘have inconvenienced’. Mr Walsh’s question </w:t>
      </w:r>
      <w:r w:rsidR="007C1DB6">
        <w:rPr>
          <w:sz w:val="20"/>
          <w:szCs w:val="20"/>
        </w:rPr>
        <w:t xml:space="preserve">above </w:t>
      </w:r>
      <w:r w:rsidR="00D3562D" w:rsidRPr="00D3562D">
        <w:rPr>
          <w:sz w:val="20"/>
          <w:szCs w:val="20"/>
        </w:rPr>
        <w:t xml:space="preserve">has been </w:t>
      </w:r>
      <w:r w:rsidR="007C1DB6">
        <w:rPr>
          <w:sz w:val="20"/>
          <w:szCs w:val="20"/>
        </w:rPr>
        <w:t>amended to include</w:t>
      </w:r>
      <w:r w:rsidR="00D3562D" w:rsidRPr="00D3562D">
        <w:rPr>
          <w:sz w:val="20"/>
          <w:szCs w:val="20"/>
        </w:rPr>
        <w:t xml:space="preserve"> his original wording rather than that used by the Chair</w:t>
      </w:r>
      <w:r w:rsidR="007C1DB6">
        <w:rPr>
          <w:sz w:val="20"/>
          <w:szCs w:val="20"/>
        </w:rPr>
        <w:t xml:space="preserve"> in the meeting</w:t>
      </w:r>
      <w:r w:rsidR="00D3562D" w:rsidRPr="00D3562D">
        <w:rPr>
          <w:sz w:val="20"/>
          <w:szCs w:val="20"/>
        </w:rPr>
        <w:t>.)</w:t>
      </w:r>
      <w:r w:rsidR="00D3562D">
        <w:rPr>
          <w:sz w:val="20"/>
          <w:szCs w:val="20"/>
        </w:rPr>
        <w:br/>
      </w:r>
    </w:p>
    <w:p w14:paraId="1A94F747" w14:textId="6A8EE4AF" w:rsidR="004E1A38" w:rsidRPr="0070560E" w:rsidRDefault="004E1A38" w:rsidP="00D30CDE">
      <w:pPr>
        <w:pStyle w:val="ListParagraph"/>
        <w:numPr>
          <w:ilvl w:val="0"/>
          <w:numId w:val="26"/>
        </w:numPr>
        <w:tabs>
          <w:tab w:val="left" w:pos="142"/>
          <w:tab w:val="left" w:pos="284"/>
          <w:tab w:val="left" w:pos="709"/>
        </w:tabs>
      </w:pPr>
      <w:r w:rsidRPr="0070560E">
        <w:rPr>
          <w:b/>
          <w:bCs/>
        </w:rPr>
        <w:t>A:</w:t>
      </w:r>
      <w:r w:rsidRPr="0070560E">
        <w:t xml:space="preserve">  </w:t>
      </w:r>
      <w:r w:rsidR="00875A51" w:rsidRPr="0070560E">
        <w:t xml:space="preserve">The Chair did not believe </w:t>
      </w:r>
      <w:r w:rsidRPr="0070560E">
        <w:t>it wou</w:t>
      </w:r>
      <w:r w:rsidR="00875A51" w:rsidRPr="0070560E">
        <w:t>l</w:t>
      </w:r>
      <w:r w:rsidRPr="0070560E">
        <w:t xml:space="preserve">d have been in order on the day. </w:t>
      </w:r>
      <w:r w:rsidR="00875A51" w:rsidRPr="0070560E">
        <w:t xml:space="preserve"> The p</w:t>
      </w:r>
      <w:r w:rsidRPr="0070560E">
        <w:t xml:space="preserve">urpose of the </w:t>
      </w:r>
      <w:r w:rsidR="00875A51" w:rsidRPr="0070560E">
        <w:t xml:space="preserve">EGM </w:t>
      </w:r>
      <w:r w:rsidRPr="0070560E">
        <w:t>was to vote on the special resolution</w:t>
      </w:r>
      <w:r w:rsidR="00875A51" w:rsidRPr="0070560E">
        <w:t xml:space="preserve"> and t</w:t>
      </w:r>
      <w:r w:rsidRPr="0070560E">
        <w:t xml:space="preserve">o have withdrawn the special resolution and taken an advisory vote would have had no legal standing. The special resolution would have had to be reissued at a cost to the </w:t>
      </w:r>
      <w:r w:rsidR="00875A51" w:rsidRPr="0070560E">
        <w:t>T</w:t>
      </w:r>
      <w:r w:rsidRPr="0070560E">
        <w:t xml:space="preserve">rust </w:t>
      </w:r>
      <w:r w:rsidR="00875A51" w:rsidRPr="0070560E">
        <w:t>o</w:t>
      </w:r>
      <w:r w:rsidRPr="0070560E">
        <w:t xml:space="preserve">f a further </w:t>
      </w:r>
      <w:r w:rsidR="00875A51" w:rsidRPr="0070560E">
        <w:t>£</w:t>
      </w:r>
      <w:r w:rsidRPr="0070560E">
        <w:t>15</w:t>
      </w:r>
      <w:r w:rsidR="000078A1" w:rsidRPr="0070560E">
        <w:t>,000</w:t>
      </w:r>
      <w:r w:rsidRPr="0070560E">
        <w:t xml:space="preserve"> plus additional time involved</w:t>
      </w:r>
      <w:r w:rsidR="00875A51" w:rsidRPr="0070560E">
        <w:t>. T</w:t>
      </w:r>
      <w:r w:rsidRPr="0070560E">
        <w:t xml:space="preserve">o suggest there would have been no impact on the </w:t>
      </w:r>
      <w:r w:rsidR="00875A51" w:rsidRPr="0070560E">
        <w:t>T</w:t>
      </w:r>
      <w:r w:rsidRPr="0070560E">
        <w:t xml:space="preserve">rust is simply incorrect. </w:t>
      </w:r>
      <w:r w:rsidR="00A57C65" w:rsidRPr="0070560E">
        <w:t xml:space="preserve"> </w:t>
      </w:r>
      <w:r w:rsidR="00875A51" w:rsidRPr="0070560E">
        <w:t>Mr Walsh’s proposed amendment point 3 was not accepted.</w:t>
      </w:r>
    </w:p>
    <w:p w14:paraId="06E802FE" w14:textId="77777777" w:rsidR="00520998" w:rsidRPr="0070560E" w:rsidRDefault="00520998" w:rsidP="00520998">
      <w:pPr>
        <w:pStyle w:val="ListParagraph"/>
        <w:tabs>
          <w:tab w:val="left" w:pos="142"/>
          <w:tab w:val="left" w:pos="284"/>
          <w:tab w:val="left" w:pos="709"/>
        </w:tabs>
        <w:ind w:left="1080"/>
      </w:pPr>
    </w:p>
    <w:p w14:paraId="6A182BA2" w14:textId="77777777" w:rsidR="00A57C65" w:rsidRPr="0070560E" w:rsidRDefault="00A57C65" w:rsidP="00520998">
      <w:pPr>
        <w:pStyle w:val="ListParagraph"/>
        <w:tabs>
          <w:tab w:val="left" w:pos="284"/>
        </w:tabs>
        <w:ind w:left="1134"/>
        <w:rPr>
          <w:i/>
          <w:iCs/>
        </w:rPr>
      </w:pPr>
      <w:r w:rsidRPr="0070560E">
        <w:rPr>
          <w:b/>
          <w:bCs/>
        </w:rPr>
        <w:t>Mr Walsh responded</w:t>
      </w:r>
      <w:r w:rsidRPr="0070560E">
        <w:t xml:space="preserve">: </w:t>
      </w:r>
      <w:r w:rsidRPr="0070560E">
        <w:rPr>
          <w:i/>
          <w:iCs/>
        </w:rPr>
        <w:t>The point also covers that it was acceptable to take the indicative vote and that to disallow that was out of order. It would not have impacted the Special resolution. Thank you.</w:t>
      </w:r>
    </w:p>
    <w:p w14:paraId="3710B8DE" w14:textId="77777777" w:rsidR="00520998" w:rsidRPr="0070560E" w:rsidRDefault="00520998" w:rsidP="00E3289C">
      <w:pPr>
        <w:pStyle w:val="ListParagraph"/>
        <w:tabs>
          <w:tab w:val="left" w:pos="360"/>
        </w:tabs>
        <w:ind w:left="1080"/>
        <w:rPr>
          <w:i/>
          <w:iCs/>
        </w:rPr>
      </w:pPr>
    </w:p>
    <w:p w14:paraId="3F89AFDC" w14:textId="6D8386E1" w:rsidR="00A57C65" w:rsidRDefault="005B642C" w:rsidP="00E3289C">
      <w:pPr>
        <w:pStyle w:val="ListParagraph"/>
        <w:tabs>
          <w:tab w:val="left" w:pos="360"/>
        </w:tabs>
        <w:ind w:left="1080"/>
      </w:pPr>
      <w:r w:rsidRPr="0070560E">
        <w:t xml:space="preserve">Response from chair:  </w:t>
      </w:r>
      <w:proofErr w:type="gramStart"/>
      <w:r w:rsidRPr="0070560E">
        <w:t>B</w:t>
      </w:r>
      <w:r w:rsidR="00A57C65" w:rsidRPr="0070560E">
        <w:t>asically</w:t>
      </w:r>
      <w:proofErr w:type="gramEnd"/>
      <w:r w:rsidR="00A57C65" w:rsidRPr="0070560E">
        <w:t xml:space="preserve"> the point being made is that to have allowed an indicative vote in addition to allowing voting on the special resolution would in Martin’s view not have been a problem in the meeting. OK, however, we didn’t</w:t>
      </w:r>
      <w:r w:rsidR="00520998" w:rsidRPr="0070560E">
        <w:t>.</w:t>
      </w:r>
    </w:p>
    <w:p w14:paraId="389C9843" w14:textId="77777777" w:rsidR="005B642C" w:rsidRPr="00520998" w:rsidRDefault="005B642C" w:rsidP="00E3289C">
      <w:pPr>
        <w:pStyle w:val="ListParagraph"/>
        <w:tabs>
          <w:tab w:val="left" w:pos="360"/>
        </w:tabs>
        <w:ind w:left="1080"/>
      </w:pPr>
    </w:p>
    <w:p w14:paraId="2F3BDA1E" w14:textId="2CACF86D" w:rsidR="002D26CF" w:rsidRPr="002D26CF" w:rsidRDefault="00875A51" w:rsidP="002D26CF">
      <w:pPr>
        <w:pStyle w:val="ListParagraph"/>
        <w:numPr>
          <w:ilvl w:val="5"/>
          <w:numId w:val="41"/>
        </w:numPr>
        <w:ind w:left="709"/>
        <w:rPr>
          <w:rFonts w:eastAsia="Times New Roman"/>
          <w:i/>
          <w:iCs/>
          <w:color w:val="000000"/>
          <w:sz w:val="24"/>
          <w:szCs w:val="24"/>
        </w:rPr>
      </w:pPr>
      <w:r w:rsidRPr="002D26CF">
        <w:rPr>
          <w:b/>
          <w:bCs/>
          <w:i/>
          <w:iCs/>
        </w:rPr>
        <w:t>Martin Walsh:</w:t>
      </w:r>
      <w:r w:rsidRPr="002D26CF">
        <w:rPr>
          <w:i/>
          <w:iCs/>
        </w:rPr>
        <w:t xml:space="preserve"> </w:t>
      </w:r>
      <w:r w:rsidR="002D26CF" w:rsidRPr="002D26CF">
        <w:rPr>
          <w:rFonts w:eastAsia="Times New Roman"/>
          <w:i/>
          <w:iCs/>
          <w:color w:val="000000"/>
          <w:sz w:val="24"/>
          <w:szCs w:val="24"/>
          <w:shd w:val="clear" w:color="auto" w:fill="FFFFFF"/>
        </w:rPr>
        <w:t>If on reflection, The Secretary did not make the statement explaining that members could abstain by withholding the voting slip (page 5) then the statement should be clarified or removed from the minutes.</w:t>
      </w:r>
    </w:p>
    <w:p w14:paraId="61A57915" w14:textId="262B8B44" w:rsidR="00875A51" w:rsidRDefault="00875A51" w:rsidP="002E6E89">
      <w:pPr>
        <w:pStyle w:val="ListParagraph"/>
        <w:numPr>
          <w:ilvl w:val="5"/>
          <w:numId w:val="34"/>
        </w:numPr>
        <w:tabs>
          <w:tab w:val="left" w:pos="284"/>
          <w:tab w:val="left" w:pos="709"/>
        </w:tabs>
        <w:ind w:left="1134"/>
      </w:pPr>
      <w:r w:rsidRPr="002D26CF">
        <w:rPr>
          <w:b/>
          <w:bCs/>
        </w:rPr>
        <w:t>A:</w:t>
      </w:r>
      <w:r>
        <w:t xml:space="preserve">  </w:t>
      </w:r>
      <w:r w:rsidR="006A42EE" w:rsidRPr="002D26CF">
        <w:rPr>
          <w:b/>
          <w:bCs/>
        </w:rPr>
        <w:t>Roger</w:t>
      </w:r>
      <w:r w:rsidRPr="002D26CF">
        <w:rPr>
          <w:b/>
          <w:bCs/>
        </w:rPr>
        <w:t xml:space="preserve"> Wild</w:t>
      </w:r>
      <w:r>
        <w:t xml:space="preserve"> confirmed </w:t>
      </w:r>
      <w:r w:rsidR="00CE0DCF">
        <w:t xml:space="preserve">he did advise Members </w:t>
      </w:r>
      <w:r>
        <w:t xml:space="preserve">at </w:t>
      </w:r>
      <w:r w:rsidR="00CE0DCF">
        <w:t xml:space="preserve">the </w:t>
      </w:r>
      <w:r>
        <w:t xml:space="preserve">meeting </w:t>
      </w:r>
      <w:r w:rsidR="00CE0DCF">
        <w:t xml:space="preserve">that, </w:t>
      </w:r>
      <w:r>
        <w:t>if they wish</w:t>
      </w:r>
      <w:r w:rsidR="006A42EE">
        <w:t>ed</w:t>
      </w:r>
      <w:r>
        <w:t xml:space="preserve"> to abstain</w:t>
      </w:r>
      <w:r w:rsidR="00CE0DCF">
        <w:t>,</w:t>
      </w:r>
      <w:r>
        <w:t xml:space="preserve"> they could simply not complete and hand in the voting slip. </w:t>
      </w:r>
    </w:p>
    <w:p w14:paraId="7771667C" w14:textId="77777777" w:rsidR="00CE0DCF" w:rsidRDefault="00CE0DCF" w:rsidP="00AE0818"/>
    <w:p w14:paraId="65BD0BEA" w14:textId="3CB69E17" w:rsidR="00CE0DCF" w:rsidRDefault="006A42EE" w:rsidP="00AE0818">
      <w:r>
        <w:t xml:space="preserve">There being no further </w:t>
      </w:r>
      <w:r w:rsidR="00A43458">
        <w:t xml:space="preserve">questions or </w:t>
      </w:r>
      <w:r>
        <w:t>comments, a</w:t>
      </w:r>
      <w:r w:rsidR="00CE0DCF">
        <w:t xml:space="preserve">n ordinary resolution to approve the </w:t>
      </w:r>
      <w:r w:rsidR="00155B0C">
        <w:t xml:space="preserve">EGM </w:t>
      </w:r>
      <w:r w:rsidR="00CE0DCF">
        <w:t>minutes as an accurate record was taken via a poll launched on screen</w:t>
      </w:r>
      <w:r>
        <w:t>, subject to the agreed amendments</w:t>
      </w:r>
      <w:r w:rsidR="00E3289C">
        <w:t>.</w:t>
      </w:r>
      <w:r w:rsidR="00CE0DCF">
        <w:t xml:space="preserve"> Roger Wild, as Company Secretary, announced the preliminary result, including the 72 proxy votes received prior to the meeting: </w:t>
      </w:r>
    </w:p>
    <w:p w14:paraId="207EF8C3" w14:textId="77777777" w:rsidR="00CE0DCF" w:rsidRDefault="00CE0DCF" w:rsidP="00AE0818"/>
    <w:p w14:paraId="7AC2AD7E" w14:textId="2D401FC9" w:rsidR="00CE0DCF" w:rsidRDefault="00CE0DCF" w:rsidP="00AE0818">
      <w:r>
        <w:t>In favour:</w:t>
      </w:r>
      <w:r>
        <w:tab/>
        <w:t>112</w:t>
      </w:r>
    </w:p>
    <w:p w14:paraId="1986AD31" w14:textId="010B77FC" w:rsidR="00CE0DCF" w:rsidRDefault="00CE0DCF" w:rsidP="00AE0818">
      <w:r>
        <w:t>Against:</w:t>
      </w:r>
      <w:r>
        <w:tab/>
        <w:t xml:space="preserve">    2</w:t>
      </w:r>
    </w:p>
    <w:p w14:paraId="5EAEF25D" w14:textId="053BE46E" w:rsidR="00CE0DCF" w:rsidRDefault="00CE0DCF" w:rsidP="00AE0818">
      <w:r>
        <w:t>Withheld:</w:t>
      </w:r>
      <w:r>
        <w:tab/>
        <w:t xml:space="preserve">    6</w:t>
      </w:r>
    </w:p>
    <w:p w14:paraId="7894B126" w14:textId="77777777" w:rsidR="00CE0DCF" w:rsidRDefault="00CE0DCF" w:rsidP="00AE0818"/>
    <w:p w14:paraId="687BBE34" w14:textId="77777777" w:rsidR="00EA76A4" w:rsidRDefault="00CE0DCF" w:rsidP="00AE0818">
      <w:r w:rsidRPr="00EA76A4">
        <w:rPr>
          <w:b/>
          <w:bCs/>
        </w:rPr>
        <w:t>The motion to approve the 2019 EGM minutes was approved</w:t>
      </w:r>
      <w:r w:rsidR="004D77B1" w:rsidRPr="00EA76A4">
        <w:rPr>
          <w:b/>
          <w:bCs/>
        </w:rPr>
        <w:t>, subject to the amendments agreed</w:t>
      </w:r>
      <w:r w:rsidRPr="00EA76A4">
        <w:rPr>
          <w:b/>
          <w:bCs/>
        </w:rPr>
        <w:t>.</w:t>
      </w:r>
      <w:r>
        <w:t xml:space="preserve">  </w:t>
      </w:r>
    </w:p>
    <w:p w14:paraId="2C682BD3" w14:textId="77777777" w:rsidR="00EA76A4" w:rsidRDefault="00EA76A4" w:rsidP="00AE0818"/>
    <w:p w14:paraId="7B5CF710" w14:textId="2C84A1DC" w:rsidR="00CE0DCF" w:rsidRDefault="00CE0DCF" w:rsidP="00AE0818">
      <w:r>
        <w:t>Final voting results would be published in the Minutes following checks to ensure no double voting had occurred</w:t>
      </w:r>
      <w:r w:rsidR="000D04DC">
        <w:t xml:space="preserve"> (see </w:t>
      </w:r>
      <w:r w:rsidR="00E322B3">
        <w:t xml:space="preserve">table at the </w:t>
      </w:r>
      <w:r w:rsidR="000D04DC">
        <w:t xml:space="preserve">end of the </w:t>
      </w:r>
      <w:r w:rsidR="00E322B3">
        <w:t>minutes)</w:t>
      </w:r>
    </w:p>
    <w:p w14:paraId="387F0F2F" w14:textId="06457215" w:rsidR="00CE0DCF" w:rsidRDefault="00CE0DCF" w:rsidP="00AE0818"/>
    <w:p w14:paraId="239443D9" w14:textId="77777777" w:rsidR="006B586B" w:rsidRDefault="006B586B" w:rsidP="00AE0818">
      <w:pPr>
        <w:jc w:val="both"/>
        <w:rPr>
          <w:b/>
          <w:bCs/>
        </w:rPr>
      </w:pPr>
    </w:p>
    <w:p w14:paraId="71FA7417" w14:textId="59D38B4F" w:rsidR="006B586B" w:rsidRPr="006B586B" w:rsidRDefault="006B586B" w:rsidP="00AE0818">
      <w:pPr>
        <w:jc w:val="both"/>
        <w:rPr>
          <w:b/>
          <w:bCs/>
          <w:iCs/>
        </w:rPr>
      </w:pPr>
      <w:r w:rsidRPr="006B586B">
        <w:rPr>
          <w:b/>
          <w:bCs/>
        </w:rPr>
        <w:t>3.</w:t>
      </w:r>
      <w:r w:rsidRPr="006B586B">
        <w:rPr>
          <w:b/>
          <w:bCs/>
        </w:rPr>
        <w:tab/>
      </w:r>
      <w:r w:rsidRPr="006B586B">
        <w:rPr>
          <w:b/>
          <w:bCs/>
          <w:iCs/>
        </w:rPr>
        <w:t>Receiving the Company’s Report and Accounts and Auditor’s Report</w:t>
      </w:r>
    </w:p>
    <w:p w14:paraId="2DEAB927" w14:textId="1EFB548C" w:rsidR="00DC0474" w:rsidRDefault="00DC0474" w:rsidP="00AE0818">
      <w:pPr>
        <w:tabs>
          <w:tab w:val="left" w:pos="426"/>
        </w:tabs>
        <w:ind w:left="426" w:hanging="426"/>
      </w:pPr>
    </w:p>
    <w:p w14:paraId="2AE73ABB" w14:textId="27D3EF1C" w:rsidR="00155B0C" w:rsidRDefault="00155B0C" w:rsidP="00155B0C">
      <w:pPr>
        <w:tabs>
          <w:tab w:val="left" w:pos="709"/>
        </w:tabs>
      </w:pPr>
      <w:r>
        <w:t xml:space="preserve">Gerry Bacon introduced himself as Treasurer/Trustee for over 3 years. He explained that all Trustees were unpaid volunteers with overall responsibility to deliver the financial strategy and support the mission of the Trust.  Roger Wild was the Financial Officer and Company Secretary, remunerated for 4 days </w:t>
      </w:r>
      <w:r w:rsidR="00652F5F">
        <w:t>a week.</w:t>
      </w:r>
    </w:p>
    <w:p w14:paraId="0888C829" w14:textId="02738F36" w:rsidR="00652F5F" w:rsidRDefault="00652F5F" w:rsidP="00155B0C">
      <w:pPr>
        <w:tabs>
          <w:tab w:val="left" w:pos="709"/>
        </w:tabs>
      </w:pPr>
    </w:p>
    <w:p w14:paraId="2649B494" w14:textId="3774074F" w:rsidR="00652F5F" w:rsidRDefault="00652F5F" w:rsidP="00155B0C">
      <w:pPr>
        <w:tabs>
          <w:tab w:val="left" w:pos="709"/>
        </w:tabs>
      </w:pPr>
      <w:r>
        <w:t>A brief overview of the accounts for y/e March 2020 showed the following:</w:t>
      </w:r>
    </w:p>
    <w:p w14:paraId="794945CD" w14:textId="6F5A0E92" w:rsidR="00652F5F" w:rsidRDefault="00652F5F" w:rsidP="00C520D0">
      <w:pPr>
        <w:pStyle w:val="ListParagraph"/>
        <w:numPr>
          <w:ilvl w:val="5"/>
          <w:numId w:val="36"/>
        </w:numPr>
        <w:tabs>
          <w:tab w:val="left" w:pos="709"/>
        </w:tabs>
        <w:ind w:left="851"/>
      </w:pPr>
      <w:r>
        <w:t>A clean audit report for the year.</w:t>
      </w:r>
    </w:p>
    <w:p w14:paraId="1875A015" w14:textId="33AC3EBD" w:rsidR="00652F5F" w:rsidRDefault="00652F5F" w:rsidP="00C520D0">
      <w:pPr>
        <w:pStyle w:val="ListParagraph"/>
        <w:numPr>
          <w:ilvl w:val="5"/>
          <w:numId w:val="36"/>
        </w:numPr>
        <w:tabs>
          <w:tab w:val="left" w:pos="709"/>
        </w:tabs>
        <w:ind w:left="851"/>
      </w:pPr>
      <w:r>
        <w:t>Unrestricted funds profit of £253k which represented a 4% margin on income of £6.3m.</w:t>
      </w:r>
    </w:p>
    <w:p w14:paraId="64EA95B8" w14:textId="44339344" w:rsidR="00652F5F" w:rsidRDefault="00652F5F" w:rsidP="00C520D0">
      <w:pPr>
        <w:pStyle w:val="ListParagraph"/>
        <w:numPr>
          <w:ilvl w:val="5"/>
          <w:numId w:val="36"/>
        </w:numPr>
        <w:tabs>
          <w:tab w:val="left" w:pos="709"/>
        </w:tabs>
        <w:ind w:left="851"/>
      </w:pPr>
      <w:r>
        <w:t xml:space="preserve">Any </w:t>
      </w:r>
      <w:r w:rsidR="000078A1">
        <w:t>surplus</w:t>
      </w:r>
      <w:r w:rsidR="00E531C8">
        <w:t xml:space="preserve"> </w:t>
      </w:r>
      <w:r>
        <w:t>made was reinvested to use on the Trust’s mission.</w:t>
      </w:r>
    </w:p>
    <w:p w14:paraId="4D2BB9C1" w14:textId="28838FE1" w:rsidR="00652F5F" w:rsidRDefault="00652F5F" w:rsidP="00A43458">
      <w:pPr>
        <w:pStyle w:val="ListParagraph"/>
        <w:numPr>
          <w:ilvl w:val="5"/>
          <w:numId w:val="36"/>
        </w:numPr>
        <w:tabs>
          <w:tab w:val="left" w:pos="851"/>
        </w:tabs>
        <w:ind w:left="709" w:hanging="283"/>
      </w:pPr>
      <w:r>
        <w:t xml:space="preserve">Income </w:t>
      </w:r>
      <w:r w:rsidR="000D04DC">
        <w:t>in FY20/21</w:t>
      </w:r>
      <w:r>
        <w:t xml:space="preserve"> would fall due to the renegotiation of the SCC contract to conservation only but this would also result in fewer SCC related expenses.</w:t>
      </w:r>
    </w:p>
    <w:p w14:paraId="31E7B2E6" w14:textId="04807E4E" w:rsidR="00652F5F" w:rsidRDefault="000D04DC" w:rsidP="00A43458">
      <w:pPr>
        <w:pStyle w:val="ListParagraph"/>
        <w:numPr>
          <w:ilvl w:val="5"/>
          <w:numId w:val="36"/>
        </w:numPr>
        <w:tabs>
          <w:tab w:val="left" w:pos="709"/>
        </w:tabs>
        <w:ind w:left="709" w:hanging="283"/>
      </w:pPr>
      <w:r>
        <w:t>R</w:t>
      </w:r>
      <w:r w:rsidR="00652F5F">
        <w:t xml:space="preserve">estricted income of £0.8m with a </w:t>
      </w:r>
      <w:r>
        <w:t>surplus</w:t>
      </w:r>
      <w:r w:rsidR="00652F5F">
        <w:t xml:space="preserve"> of £429k, including all projects.</w:t>
      </w:r>
    </w:p>
    <w:p w14:paraId="2436AB2B" w14:textId="790FBB4A" w:rsidR="00652F5F" w:rsidRDefault="00652F5F" w:rsidP="00A43458">
      <w:pPr>
        <w:pStyle w:val="ListParagraph"/>
        <w:numPr>
          <w:ilvl w:val="5"/>
          <w:numId w:val="36"/>
        </w:numPr>
        <w:tabs>
          <w:tab w:val="left" w:pos="709"/>
        </w:tabs>
        <w:ind w:left="709" w:hanging="283"/>
      </w:pPr>
      <w:r>
        <w:t>Covid-19 had put pressure on liquidity but, due to actions taken 2 years ago, the Trust had sufficient cash and bank facilities to allow the organisation to develop in the short to medium term.</w:t>
      </w:r>
    </w:p>
    <w:p w14:paraId="58303D24" w14:textId="5B648B63" w:rsidR="00652F5F" w:rsidRDefault="00652F5F" w:rsidP="00A43458">
      <w:pPr>
        <w:pStyle w:val="ListParagraph"/>
        <w:numPr>
          <w:ilvl w:val="5"/>
          <w:numId w:val="36"/>
        </w:numPr>
        <w:tabs>
          <w:tab w:val="left" w:pos="709"/>
        </w:tabs>
        <w:ind w:left="709" w:hanging="283"/>
      </w:pPr>
      <w:r>
        <w:t xml:space="preserve">The Auditors had carried out more work around liquidity and were satisfied with the Trust’s </w:t>
      </w:r>
      <w:r w:rsidR="000D04DC">
        <w:t xml:space="preserve">financial </w:t>
      </w:r>
      <w:r>
        <w:t>position.</w:t>
      </w:r>
    </w:p>
    <w:p w14:paraId="25DC12AD" w14:textId="06C530D9" w:rsidR="00652F5F" w:rsidRDefault="00652F5F" w:rsidP="00155B0C">
      <w:pPr>
        <w:tabs>
          <w:tab w:val="left" w:pos="709"/>
        </w:tabs>
      </w:pPr>
    </w:p>
    <w:p w14:paraId="60F2FCCB" w14:textId="0BDBA6B4" w:rsidR="009A513B" w:rsidRDefault="009A513B" w:rsidP="009A513B">
      <w:r>
        <w:t>Mr Bacon introduced Roger Wild, who gave a brief update on the financial situation for y/</w:t>
      </w:r>
      <w:r w:rsidR="00A43458">
        <w:t>e</w:t>
      </w:r>
      <w:r>
        <w:t xml:space="preserve"> March 2020 and explained how the Trust had been implementing a financial strategy for the </w:t>
      </w:r>
      <w:r w:rsidR="00A43458">
        <w:t>p</w:t>
      </w:r>
      <w:r>
        <w:t>ast few years which has put it in a good position to deal with Brexit and covid-19. The key parts of that strategy were to deliver the mission, supported by:</w:t>
      </w:r>
    </w:p>
    <w:p w14:paraId="64D8DE52" w14:textId="0496F148" w:rsidR="009A513B" w:rsidRDefault="009A513B" w:rsidP="009A513B">
      <w:pPr>
        <w:pStyle w:val="ListParagraph"/>
        <w:numPr>
          <w:ilvl w:val="0"/>
          <w:numId w:val="28"/>
        </w:numPr>
      </w:pPr>
      <w:r>
        <w:t>diversified income streams</w:t>
      </w:r>
    </w:p>
    <w:p w14:paraId="6ED5E32D" w14:textId="1F188A34" w:rsidR="009A513B" w:rsidRDefault="009A513B" w:rsidP="009A513B">
      <w:pPr>
        <w:pStyle w:val="ListParagraph"/>
        <w:numPr>
          <w:ilvl w:val="0"/>
          <w:numId w:val="28"/>
        </w:numPr>
      </w:pPr>
      <w:r>
        <w:t>careful management of financial risks and liabilities</w:t>
      </w:r>
    </w:p>
    <w:p w14:paraId="1E792B10" w14:textId="77777777" w:rsidR="009A513B" w:rsidRDefault="009A513B" w:rsidP="009A513B">
      <w:pPr>
        <w:pStyle w:val="ListParagraph"/>
        <w:numPr>
          <w:ilvl w:val="0"/>
          <w:numId w:val="28"/>
        </w:numPr>
      </w:pPr>
      <w:r>
        <w:t>strong liquidity</w:t>
      </w:r>
    </w:p>
    <w:p w14:paraId="55EF9892" w14:textId="5FBF05CA" w:rsidR="00652F5F" w:rsidRDefault="00652F5F" w:rsidP="009A513B">
      <w:pPr>
        <w:tabs>
          <w:tab w:val="left" w:pos="709"/>
        </w:tabs>
      </w:pPr>
    </w:p>
    <w:p w14:paraId="2ED79CF0" w14:textId="77777777" w:rsidR="009A513B" w:rsidRDefault="009A513B" w:rsidP="009A513B">
      <w:pPr>
        <w:contextualSpacing/>
      </w:pPr>
      <w:r>
        <w:t>Looking at these in turn:</w:t>
      </w:r>
    </w:p>
    <w:p w14:paraId="20AC77EF" w14:textId="3567091D" w:rsidR="009A513B" w:rsidRDefault="009A513B" w:rsidP="009A513B">
      <w:pPr>
        <w:pStyle w:val="ListParagraph"/>
        <w:numPr>
          <w:ilvl w:val="0"/>
          <w:numId w:val="29"/>
        </w:numPr>
      </w:pPr>
      <w:r>
        <w:t>Diversified income streams:  To limit exposure to risk and to take advantage of new opportunities, particularly where they generated income and delivered mission. This had been successful in the past year, in particular:</w:t>
      </w:r>
    </w:p>
    <w:p w14:paraId="1381D003" w14:textId="67EF77FB" w:rsidR="009A513B" w:rsidRDefault="00A43458" w:rsidP="009A513B">
      <w:pPr>
        <w:pStyle w:val="ListParagraph"/>
        <w:numPr>
          <w:ilvl w:val="1"/>
          <w:numId w:val="29"/>
        </w:numPr>
      </w:pPr>
      <w:r>
        <w:t>I</w:t>
      </w:r>
      <w:r w:rsidR="009A513B">
        <w:t>nvestment in fundraising capability had resulted in donations and grants, including Heritage Lottery Fund and Coast to Capital increasing to over £800,000</w:t>
      </w:r>
      <w:r w:rsidR="0075425B">
        <w:t>.</w:t>
      </w:r>
    </w:p>
    <w:p w14:paraId="7615C1CD" w14:textId="090C24A6" w:rsidR="009A513B" w:rsidRDefault="009A513B" w:rsidP="009A513B">
      <w:pPr>
        <w:pStyle w:val="ListParagraph"/>
        <w:numPr>
          <w:ilvl w:val="1"/>
          <w:numId w:val="29"/>
        </w:numPr>
      </w:pPr>
      <w:r>
        <w:t>Partnering with an external membership recruitment agency had been very successful, resulting in membership growing</w:t>
      </w:r>
      <w:r w:rsidRPr="00045197">
        <w:t xml:space="preserve"> by 1,172 to 25,590 and</w:t>
      </w:r>
      <w:r>
        <w:t xml:space="preserve"> income to over £1.2m. </w:t>
      </w:r>
    </w:p>
    <w:p w14:paraId="3BB8D6F3" w14:textId="2DB2F8E0" w:rsidR="009A513B" w:rsidRDefault="009A513B" w:rsidP="009A513B">
      <w:pPr>
        <w:pStyle w:val="ListParagraph"/>
        <w:numPr>
          <w:ilvl w:val="1"/>
          <w:numId w:val="29"/>
        </w:numPr>
      </w:pPr>
      <w:r>
        <w:t xml:space="preserve">In 2017 the Trust invested in its Ecological Consultancy to provide high quality ecological advice to housing and infrastructure developers. This had resulted in better outcomes for biodiversity and income last year of £805,000 which helped to support the wider mission. </w:t>
      </w:r>
      <w:r>
        <w:br/>
      </w:r>
    </w:p>
    <w:p w14:paraId="06FD5464" w14:textId="2B1FC881" w:rsidR="009A513B" w:rsidRDefault="009A513B" w:rsidP="009A513B">
      <w:pPr>
        <w:pStyle w:val="ListParagraph"/>
        <w:numPr>
          <w:ilvl w:val="0"/>
          <w:numId w:val="29"/>
        </w:numPr>
      </w:pPr>
      <w:r>
        <w:t>Careful management of financial risks: Trustees regularly monitored the risks facing the organisation and took action to mitigate them.  The contract for the management of Surrey County Council’s Countryside Estate was renegotiated</w:t>
      </w:r>
      <w:r w:rsidR="00D07F46">
        <w:t xml:space="preserve">. </w:t>
      </w:r>
      <w:r>
        <w:t xml:space="preserve">This took 18 months and the relationship with SCC had been reset so the Trust would focus on conservation alone whilst SCC managed public access, </w:t>
      </w:r>
      <w:proofErr w:type="gramStart"/>
      <w:r>
        <w:t>property</w:t>
      </w:r>
      <w:proofErr w:type="gramEnd"/>
      <w:r>
        <w:t xml:space="preserve"> and income generation. </w:t>
      </w:r>
      <w:r w:rsidR="00D07F46">
        <w:t xml:space="preserve"> This enabled the Trust to work better in partnership with SCC on conservation matters across the </w:t>
      </w:r>
      <w:r w:rsidR="00A43458">
        <w:t>C</w:t>
      </w:r>
      <w:r w:rsidR="00D07F46">
        <w:t xml:space="preserve">ounty.  </w:t>
      </w:r>
      <w:r>
        <w:t>As a result of that negotiation</w:t>
      </w:r>
      <w:r w:rsidR="00D07F46">
        <w:t>, some su</w:t>
      </w:r>
      <w:r>
        <w:t>bstantial financial risks</w:t>
      </w:r>
      <w:r w:rsidR="00D07F46">
        <w:t xml:space="preserve"> had been removed</w:t>
      </w:r>
      <w:r>
        <w:t>:</w:t>
      </w:r>
    </w:p>
    <w:p w14:paraId="3F9B3AEC" w14:textId="77777777" w:rsidR="009A513B" w:rsidRDefault="009A513B" w:rsidP="009A513B">
      <w:pPr>
        <w:pStyle w:val="ListParagraph"/>
        <w:numPr>
          <w:ilvl w:val="1"/>
          <w:numId w:val="29"/>
        </w:numPr>
      </w:pPr>
      <w:r>
        <w:lastRenderedPageBreak/>
        <w:t>A cessation liability on the SCC Local government pension scheme of up to</w:t>
      </w:r>
      <w:r w:rsidRPr="00BF50BA">
        <w:t xml:space="preserve"> £2.0m</w:t>
      </w:r>
      <w:r>
        <w:t xml:space="preserve"> </w:t>
      </w:r>
      <w:r w:rsidRPr="00BF50BA">
        <w:t>which</w:t>
      </w:r>
      <w:r>
        <w:t xml:space="preserve"> would have crystallised by 2025 will not be incurred because the assets and liabilities of the scheme have been subsumed by SCC.  </w:t>
      </w:r>
    </w:p>
    <w:p w14:paraId="41304B39" w14:textId="4F1B69ED" w:rsidR="009A513B" w:rsidRDefault="009A513B" w:rsidP="009A513B">
      <w:pPr>
        <w:pStyle w:val="ListParagraph"/>
        <w:numPr>
          <w:ilvl w:val="1"/>
          <w:numId w:val="29"/>
        </w:numPr>
      </w:pPr>
      <w:r>
        <w:t>Staff time spent on commercial income and reputational issues w</w:t>
      </w:r>
      <w:r w:rsidR="00D07F46">
        <w:t>ould</w:t>
      </w:r>
      <w:r>
        <w:t xml:space="preserve"> be saved and re-focussed on the mission</w:t>
      </w:r>
      <w:r w:rsidR="00D07F46">
        <w:t>.</w:t>
      </w:r>
    </w:p>
    <w:p w14:paraId="74C29B3A" w14:textId="61D106E6" w:rsidR="009A513B" w:rsidRDefault="009A513B" w:rsidP="009A513B">
      <w:pPr>
        <w:pStyle w:val="ListParagraph"/>
        <w:numPr>
          <w:ilvl w:val="1"/>
          <w:numId w:val="29"/>
        </w:numPr>
      </w:pPr>
      <w:r>
        <w:t>It was agreed with the County that Commercial properties leased to the Trust by the County would be surrendered without assessment for property dilapidations on the Trust</w:t>
      </w:r>
      <w:r w:rsidR="00A43458">
        <w:t>, t</w:t>
      </w:r>
      <w:r>
        <w:t xml:space="preserve">hus saving an ever-increasing spend on repairs and removing the risk of a substantial </w:t>
      </w:r>
      <w:proofErr w:type="gramStart"/>
      <w:r>
        <w:t>dilapidations</w:t>
      </w:r>
      <w:proofErr w:type="gramEnd"/>
      <w:r>
        <w:t xml:space="preserve"> liability.</w:t>
      </w:r>
    </w:p>
    <w:p w14:paraId="68C9F1E2" w14:textId="77777777" w:rsidR="009A513B" w:rsidRDefault="009A513B" w:rsidP="009A513B">
      <w:pPr>
        <w:pStyle w:val="ListParagraph"/>
        <w:ind w:left="1440"/>
      </w:pPr>
    </w:p>
    <w:p w14:paraId="088F1666" w14:textId="285507CF" w:rsidR="008F110E" w:rsidRDefault="008F110E" w:rsidP="00C520D0">
      <w:pPr>
        <w:pStyle w:val="ListParagraph"/>
        <w:numPr>
          <w:ilvl w:val="0"/>
          <w:numId w:val="29"/>
        </w:numPr>
      </w:pPr>
      <w:r>
        <w:t>Maintaining liquidity and safeguarding assets:  To ensure the Trust remained a going concern, and able to meet its financial commitments for the next 18 months, through the challenges of Brexit and c-19 was fundamental.  Trustees had sold an investment property for £835k in 2019 and were holding the cash generated in reserve. A £350k committed loan facility with charity bank had also been retained.  Menzies, the auditors, had looked in detail at ‘going concern’ as part of their audit and reviewed detailed cash flow projections covering various scenarios. The projections showed the Trust had sufficient cash reserves to remain a going concern until at least March 2022. This enabled sufficient time to plan for, and manage, the impacts of Brexit and C-19.</w:t>
      </w:r>
    </w:p>
    <w:p w14:paraId="6AD60055" w14:textId="77777777" w:rsidR="009A513B" w:rsidRPr="006B586B" w:rsidRDefault="009A513B" w:rsidP="00C520D0">
      <w:pPr>
        <w:tabs>
          <w:tab w:val="left" w:pos="709"/>
        </w:tabs>
        <w:contextualSpacing/>
      </w:pPr>
    </w:p>
    <w:p w14:paraId="3A791EF8" w14:textId="5A5F87BB" w:rsidR="00C520D0" w:rsidRPr="00C520D0" w:rsidRDefault="00C520D0" w:rsidP="00C520D0">
      <w:pPr>
        <w:rPr>
          <w:b/>
          <w:bCs/>
        </w:rPr>
      </w:pPr>
      <w:r w:rsidRPr="00C520D0">
        <w:rPr>
          <w:b/>
          <w:bCs/>
        </w:rPr>
        <w:t>Summary of FY19/20 finances</w:t>
      </w:r>
    </w:p>
    <w:p w14:paraId="53A5F326" w14:textId="33BD2467" w:rsidR="00C520D0" w:rsidRDefault="00C520D0" w:rsidP="00630D05">
      <w:pPr>
        <w:pStyle w:val="ListParagraph"/>
        <w:numPr>
          <w:ilvl w:val="5"/>
          <w:numId w:val="37"/>
        </w:numPr>
        <w:ind w:left="426"/>
      </w:pPr>
      <w:r>
        <w:t>Income grew from £6.4m to £7.1</w:t>
      </w:r>
      <w:r w:rsidR="0015269F">
        <w:t>m</w:t>
      </w:r>
      <w:r>
        <w:t xml:space="preserve">, mainly as result of the fundraising, </w:t>
      </w:r>
      <w:proofErr w:type="gramStart"/>
      <w:r>
        <w:t>membership</w:t>
      </w:r>
      <w:proofErr w:type="gramEnd"/>
      <w:r>
        <w:t xml:space="preserve"> and ecology services growth.</w:t>
      </w:r>
    </w:p>
    <w:p w14:paraId="2A0A81E9" w14:textId="384D9306" w:rsidR="00C520D0" w:rsidRDefault="00C520D0" w:rsidP="00630D05">
      <w:pPr>
        <w:pStyle w:val="ListParagraph"/>
        <w:numPr>
          <w:ilvl w:val="5"/>
          <w:numId w:val="37"/>
        </w:numPr>
        <w:ind w:left="426"/>
      </w:pPr>
      <w:r>
        <w:t xml:space="preserve">Expenditure rose from £6.2m to £6.4m largely </w:t>
      </w:r>
      <w:proofErr w:type="gramStart"/>
      <w:r>
        <w:t>as a result of</w:t>
      </w:r>
      <w:proofErr w:type="gramEnd"/>
      <w:r>
        <w:t xml:space="preserve"> expanding activities that raised funds for the mission, increased conservation</w:t>
      </w:r>
      <w:r w:rsidR="0015269F">
        <w:t xml:space="preserve">, </w:t>
      </w:r>
      <w:r>
        <w:t xml:space="preserve">education </w:t>
      </w:r>
      <w:r w:rsidRPr="00017E16">
        <w:t>expenditure</w:t>
      </w:r>
      <w:r>
        <w:t xml:space="preserve"> and costs of varying the agreement with SCC</w:t>
      </w:r>
      <w:r w:rsidRPr="00017E16">
        <w:t xml:space="preserve">. </w:t>
      </w:r>
    </w:p>
    <w:p w14:paraId="1004C0E4" w14:textId="2A969244" w:rsidR="0015269F" w:rsidRDefault="00C520D0" w:rsidP="00630D05">
      <w:pPr>
        <w:pStyle w:val="ListParagraph"/>
        <w:numPr>
          <w:ilvl w:val="5"/>
          <w:numId w:val="37"/>
        </w:numPr>
        <w:ind w:left="426"/>
      </w:pPr>
      <w:r w:rsidRPr="00017E16">
        <w:t>Spend on core land management, conservation and science activities totalled £</w:t>
      </w:r>
      <w:r>
        <w:t>3.7m</w:t>
      </w:r>
      <w:r w:rsidRPr="00017E16">
        <w:t xml:space="preserve">. This funded habitat improvements on land managed by the Trust such as </w:t>
      </w:r>
      <w:r w:rsidRPr="00BD3E19">
        <w:t>bringing SSSI’s including Chobham NNR, Pirbright and Ash Ranges into</w:t>
      </w:r>
      <w:r w:rsidRPr="00017E16">
        <w:t xml:space="preserve"> or closer to favourable condition as well as working with </w:t>
      </w:r>
      <w:r>
        <w:t>partners on projects such as the Catchment Partnerships and Naturally Richer Surrey.</w:t>
      </w:r>
    </w:p>
    <w:p w14:paraId="206DD797" w14:textId="507A2A43" w:rsidR="00C520D0" w:rsidRDefault="00C520D0" w:rsidP="00630D05">
      <w:pPr>
        <w:pStyle w:val="ListParagraph"/>
        <w:numPr>
          <w:ilvl w:val="5"/>
          <w:numId w:val="37"/>
        </w:numPr>
        <w:ind w:left="426"/>
      </w:pPr>
      <w:r>
        <w:t>Education programmes continue</w:t>
      </w:r>
      <w:r w:rsidR="0015269F">
        <w:t>d</w:t>
      </w:r>
      <w:r>
        <w:t xml:space="preserve"> to expand as </w:t>
      </w:r>
      <w:r w:rsidRPr="00BD3E19">
        <w:t>over 24,000 children and</w:t>
      </w:r>
      <w:r>
        <w:t xml:space="preserve"> adults benefitted from our wildlife learning activities. Expenditure on education programmes totalled £</w:t>
      </w:r>
      <w:r w:rsidR="000D04DC">
        <w:t>740,000</w:t>
      </w:r>
      <w:r>
        <w:t>.</w:t>
      </w:r>
    </w:p>
    <w:p w14:paraId="30F48D14" w14:textId="23746DF5" w:rsidR="00C520D0" w:rsidRDefault="00C520D0" w:rsidP="00630D05">
      <w:pPr>
        <w:pStyle w:val="ListParagraph"/>
        <w:numPr>
          <w:ilvl w:val="5"/>
          <w:numId w:val="37"/>
        </w:numPr>
        <w:ind w:left="426"/>
      </w:pPr>
      <w:r>
        <w:t>A surplus of £683</w:t>
      </w:r>
      <w:r w:rsidR="000D04DC">
        <w:t>,000</w:t>
      </w:r>
      <w:r>
        <w:t xml:space="preserve"> was generated. Of that £437</w:t>
      </w:r>
      <w:r w:rsidR="000D04DC">
        <w:t>,000</w:t>
      </w:r>
      <w:r>
        <w:t xml:space="preserve"> relate</w:t>
      </w:r>
      <w:r w:rsidR="0015269F">
        <w:t>d</w:t>
      </w:r>
      <w:r>
        <w:t xml:space="preserve"> to funding from HLF and other donors which w</w:t>
      </w:r>
      <w:r w:rsidR="0015269F">
        <w:t>ould</w:t>
      </w:r>
      <w:r>
        <w:t xml:space="preserve"> be spent on restricted fund projects in the future. The remaining £245</w:t>
      </w:r>
      <w:r w:rsidR="000D04DC">
        <w:t>,000</w:t>
      </w:r>
      <w:r>
        <w:t xml:space="preserve"> of unrestricted surplus w</w:t>
      </w:r>
      <w:r w:rsidR="0015269F">
        <w:t>ould</w:t>
      </w:r>
      <w:r>
        <w:t xml:space="preserve"> be held to strengthen reserves whilst we deal with </w:t>
      </w:r>
      <w:r w:rsidR="0075425B">
        <w:t>Covid</w:t>
      </w:r>
      <w:r>
        <w:t>-19.</w:t>
      </w:r>
    </w:p>
    <w:p w14:paraId="7D1597B1" w14:textId="77777777" w:rsidR="0015269F" w:rsidRDefault="0015269F" w:rsidP="0015269F">
      <w:pPr>
        <w:ind w:left="720" w:hanging="720"/>
      </w:pPr>
    </w:p>
    <w:p w14:paraId="30D50E36" w14:textId="5EB4166E" w:rsidR="00C520D0" w:rsidRDefault="00630D05" w:rsidP="00C520D0">
      <w:r>
        <w:t>Th</w:t>
      </w:r>
      <w:r w:rsidR="0015269F">
        <w:t xml:space="preserve">e Trust was </w:t>
      </w:r>
      <w:r w:rsidR="00C520D0">
        <w:t>facing challenging times</w:t>
      </w:r>
      <w:r w:rsidR="0015269F">
        <w:t xml:space="preserve">, but </w:t>
      </w:r>
      <w:r w:rsidR="00C520D0">
        <w:t xml:space="preserve">work to diversify income, manage </w:t>
      </w:r>
      <w:proofErr w:type="gramStart"/>
      <w:r w:rsidR="00C520D0">
        <w:t>risks</w:t>
      </w:r>
      <w:proofErr w:type="gramEnd"/>
      <w:r w:rsidR="00C520D0">
        <w:t xml:space="preserve"> and ensure strong cash reserves ha</w:t>
      </w:r>
      <w:r w:rsidR="0015269F">
        <w:t>d</w:t>
      </w:r>
      <w:r w:rsidR="00C520D0">
        <w:t xml:space="preserve"> put </w:t>
      </w:r>
      <w:r w:rsidR="0015269F">
        <w:t xml:space="preserve">the organisation </w:t>
      </w:r>
      <w:r w:rsidR="00C520D0">
        <w:t xml:space="preserve">in a good position to deal with </w:t>
      </w:r>
      <w:r w:rsidR="0015269F">
        <w:t>C</w:t>
      </w:r>
      <w:r w:rsidR="00C520D0">
        <w:t>ovid</w:t>
      </w:r>
      <w:r w:rsidR="00EA76A4">
        <w:t>-19</w:t>
      </w:r>
      <w:r w:rsidR="00C520D0">
        <w:t xml:space="preserve"> and Brexit. </w:t>
      </w:r>
      <w:r w:rsidR="0015269F">
        <w:t xml:space="preserve"> The Trust would </w:t>
      </w:r>
      <w:r w:rsidR="00C520D0">
        <w:t xml:space="preserve">continue to develop </w:t>
      </w:r>
      <w:proofErr w:type="gramStart"/>
      <w:r w:rsidR="00C520D0">
        <w:t>plans for the future</w:t>
      </w:r>
      <w:proofErr w:type="gramEnd"/>
      <w:r w:rsidR="00C520D0">
        <w:t xml:space="preserve"> and remain</w:t>
      </w:r>
      <w:r w:rsidR="0015269F">
        <w:t>ed</w:t>
      </w:r>
      <w:r w:rsidR="00C520D0">
        <w:t xml:space="preserve"> optimistic that renewed interest in the environment w</w:t>
      </w:r>
      <w:r w:rsidR="0015269F">
        <w:t>ould</w:t>
      </w:r>
      <w:r w:rsidR="00C520D0">
        <w:t xml:space="preserve"> lead to new partnerships and means of funding so that </w:t>
      </w:r>
      <w:r w:rsidR="0015269F">
        <w:t xml:space="preserve">the Trust could </w:t>
      </w:r>
      <w:r w:rsidR="00C520D0">
        <w:t>continue to reverse the decline of nature in Surrey.</w:t>
      </w:r>
    </w:p>
    <w:p w14:paraId="4155F58F" w14:textId="19BA3CBA" w:rsidR="00115FCD" w:rsidRDefault="00115FCD" w:rsidP="009A513B">
      <w:pPr>
        <w:rPr>
          <w:b/>
        </w:rPr>
      </w:pPr>
    </w:p>
    <w:p w14:paraId="18B873E1" w14:textId="6249707D" w:rsidR="00115FCD" w:rsidRDefault="00D72695" w:rsidP="009A513B">
      <w:pPr>
        <w:rPr>
          <w:b/>
        </w:rPr>
      </w:pPr>
      <w:r>
        <w:rPr>
          <w:b/>
        </w:rPr>
        <w:t>Comments/questions submitted live online:</w:t>
      </w:r>
    </w:p>
    <w:p w14:paraId="366D6372" w14:textId="1D8CE5CE" w:rsidR="00D72695" w:rsidRDefault="00D72695" w:rsidP="009A513B">
      <w:pPr>
        <w:rPr>
          <w:b/>
        </w:rPr>
      </w:pPr>
    </w:p>
    <w:p w14:paraId="4158DE10" w14:textId="05D0B426" w:rsidR="00D72695" w:rsidRPr="00D72695" w:rsidRDefault="00D72695" w:rsidP="009A513B">
      <w:pPr>
        <w:rPr>
          <w:b/>
        </w:rPr>
      </w:pPr>
      <w:r>
        <w:rPr>
          <w:b/>
        </w:rPr>
        <w:t xml:space="preserve">Martin D’Arcy: </w:t>
      </w:r>
      <w:r w:rsidRPr="00D72695">
        <w:rPr>
          <w:b/>
        </w:rPr>
        <w:t>On page 8 of the annual report it says, "Last year an Exxon-funded project involving two of their local link schools allowed them to take part in our Wonder of Wildlife (WOW) programme".  I</w:t>
      </w:r>
      <w:r w:rsidR="0075425B">
        <w:rPr>
          <w:b/>
        </w:rPr>
        <w:t>s</w:t>
      </w:r>
      <w:r w:rsidRPr="00D72695">
        <w:rPr>
          <w:b/>
        </w:rPr>
        <w:t xml:space="preserve"> that Exxon, the oil company?  Given the involvement in and culpability of oil corporations in actively working to undermine efforts to combat climate change, and funding climate denial activities, I am surprised that SWT would associate themselves in any way with Exxon.</w:t>
      </w:r>
    </w:p>
    <w:p w14:paraId="75D86304" w14:textId="1F3DEBBE" w:rsidR="00D72695" w:rsidRDefault="00D72695" w:rsidP="00D72695">
      <w:r w:rsidRPr="0075425B">
        <w:rPr>
          <w:b/>
        </w:rPr>
        <w:lastRenderedPageBreak/>
        <w:t>A:</w:t>
      </w:r>
      <w:r w:rsidRPr="00D72695">
        <w:rPr>
          <w:bCs/>
        </w:rPr>
        <w:t xml:space="preserve">  </w:t>
      </w:r>
      <w:r>
        <w:rPr>
          <w:bCs/>
        </w:rPr>
        <w:t xml:space="preserve">Aimee Clarke, Director, responded: </w:t>
      </w:r>
      <w:r w:rsidRPr="0070144F">
        <w:t xml:space="preserve">I wanted to clarify the support we receive from Exxon Mobil.  They are not corporate members of the Trust, however through their ‘Link Schools Fund’ they offer a small fund to a few schools around their HQ in Leatherhead to enable them to visit our Education Centre at </w:t>
      </w:r>
      <w:proofErr w:type="spellStart"/>
      <w:r w:rsidRPr="0070144F">
        <w:t>Nower</w:t>
      </w:r>
      <w:proofErr w:type="spellEnd"/>
      <w:r w:rsidRPr="0070144F">
        <w:t xml:space="preserve"> Wood, in Leatherhead, for free.   These children wouldn’t otherwise have such an opportunity.  Here, the children experience a hands-on outdoor learning session from our expert tutors to help them understand and be inspired by nature so that they will value it and </w:t>
      </w:r>
      <w:proofErr w:type="gramStart"/>
      <w:r w:rsidRPr="0070144F">
        <w:t>take action</w:t>
      </w:r>
      <w:proofErr w:type="gramEnd"/>
      <w:r w:rsidRPr="0070144F">
        <w:t xml:space="preserve"> for it in the future.   We feel that in this instance the small contribution that they are making to allow a small number of local school children to access the outdoors that otherwise wouldn’t be, especially those in the scheme with special needs, helps us to deliver our mission of connecting young people with nature.  It also means that we have a greater opportunity to influence the organisation on a local level to make change for good. </w:t>
      </w:r>
    </w:p>
    <w:p w14:paraId="186A7320" w14:textId="77777777" w:rsidR="00D72695" w:rsidRDefault="00D72695" w:rsidP="00D72695"/>
    <w:p w14:paraId="2A2DE87A" w14:textId="2CD2AFF8" w:rsidR="00D72695" w:rsidRPr="00D72695" w:rsidRDefault="00D72695" w:rsidP="00D72695">
      <w:pPr>
        <w:rPr>
          <w:b/>
          <w:bCs/>
        </w:rPr>
      </w:pPr>
      <w:r w:rsidRPr="00D72695">
        <w:rPr>
          <w:b/>
          <w:bCs/>
        </w:rPr>
        <w:t xml:space="preserve">Martin Walsh: Have all the new members recruited by the agency been directed to read the Articles - so they are made aware of becoming the member of a limited company, as was committed to in the 2019 AGM question reply? </w:t>
      </w:r>
    </w:p>
    <w:p w14:paraId="5BF3C1FF" w14:textId="5CCEE169" w:rsidR="00D72695" w:rsidRDefault="00D72695" w:rsidP="00D72695">
      <w:r w:rsidRPr="00C22B5E">
        <w:rPr>
          <w:b/>
        </w:rPr>
        <w:t>A:</w:t>
      </w:r>
      <w:r>
        <w:rPr>
          <w:bCs/>
        </w:rPr>
        <w:t xml:space="preserve">  Roger Wild responded that the action to do so had been taken and communications to ne</w:t>
      </w:r>
      <w:r w:rsidR="00C22B5E">
        <w:rPr>
          <w:bCs/>
        </w:rPr>
        <w:t>w</w:t>
      </w:r>
      <w:r>
        <w:rPr>
          <w:bCs/>
        </w:rPr>
        <w:t xml:space="preserve"> members had been </w:t>
      </w:r>
      <w:r w:rsidR="001C0690">
        <w:rPr>
          <w:bCs/>
        </w:rPr>
        <w:t>changed.  It is confirmed that new members are invited to read the Articles when they join the Trust.</w:t>
      </w:r>
    </w:p>
    <w:p w14:paraId="432E06E6" w14:textId="31662F93" w:rsidR="00115FCD" w:rsidRPr="00D72695" w:rsidRDefault="00115FCD" w:rsidP="00AE0818">
      <w:pPr>
        <w:rPr>
          <w:bCs/>
        </w:rPr>
      </w:pPr>
    </w:p>
    <w:p w14:paraId="37447BF2" w14:textId="35274F1C" w:rsidR="00115FCD" w:rsidRDefault="00D72695" w:rsidP="00AE0818">
      <w:pPr>
        <w:rPr>
          <w:b/>
        </w:rPr>
      </w:pPr>
      <w:r>
        <w:rPr>
          <w:b/>
        </w:rPr>
        <w:t xml:space="preserve">Nigel </w:t>
      </w:r>
      <w:proofErr w:type="spellStart"/>
      <w:r>
        <w:rPr>
          <w:b/>
        </w:rPr>
        <w:t>Mee</w:t>
      </w:r>
      <w:proofErr w:type="spellEnd"/>
      <w:r>
        <w:rPr>
          <w:b/>
        </w:rPr>
        <w:t xml:space="preserve">: </w:t>
      </w:r>
      <w:r w:rsidR="00C22B5E">
        <w:rPr>
          <w:b/>
        </w:rPr>
        <w:t>I too have been unable to find the AGM papers on the Surrey Wildlife Trust website. Please tell me where I should be looking. When was the email sent to members telling them that information?</w:t>
      </w:r>
    </w:p>
    <w:p w14:paraId="001F0B90" w14:textId="1417B84B" w:rsidR="00115FCD" w:rsidRPr="00C22B5E" w:rsidRDefault="00C22B5E" w:rsidP="00AE0818">
      <w:pPr>
        <w:rPr>
          <w:bCs/>
        </w:rPr>
      </w:pPr>
      <w:r>
        <w:rPr>
          <w:b/>
        </w:rPr>
        <w:t xml:space="preserve">A:  </w:t>
      </w:r>
      <w:r w:rsidR="001A5356">
        <w:rPr>
          <w:bCs/>
        </w:rPr>
        <w:t xml:space="preserve">Roger Wild responded, directing members to “what we do/about us/governance”. Under that there was a section called AGM 2020.   </w:t>
      </w:r>
    </w:p>
    <w:p w14:paraId="46A479AD" w14:textId="2EDCB83E" w:rsidR="00115FCD" w:rsidRDefault="00115FCD" w:rsidP="00AE0818">
      <w:pPr>
        <w:rPr>
          <w:b/>
        </w:rPr>
      </w:pPr>
    </w:p>
    <w:p w14:paraId="6494E68E" w14:textId="2AF17F5B" w:rsidR="00115FCD" w:rsidRPr="001A5356" w:rsidRDefault="001A5356" w:rsidP="00AE0818">
      <w:pPr>
        <w:rPr>
          <w:b/>
        </w:rPr>
      </w:pPr>
      <w:r>
        <w:rPr>
          <w:b/>
        </w:rPr>
        <w:t>John Bullock</w:t>
      </w:r>
      <w:r w:rsidRPr="001A5356">
        <w:rPr>
          <w:b/>
        </w:rPr>
        <w:t>: Whilst accepting the Exxon explanation there is a wider question:  does SWT have clear policies regarding ethical standards of the acceptance of donations and the partners SWT works with?</w:t>
      </w:r>
    </w:p>
    <w:p w14:paraId="0D77FCB7" w14:textId="72D4F9C4" w:rsidR="00115FCD" w:rsidRDefault="001A5356" w:rsidP="00AE0818">
      <w:pPr>
        <w:rPr>
          <w:bCs/>
        </w:rPr>
      </w:pPr>
      <w:r>
        <w:rPr>
          <w:b/>
        </w:rPr>
        <w:t>A:</w:t>
      </w:r>
      <w:r>
        <w:rPr>
          <w:bCs/>
        </w:rPr>
        <w:t xml:space="preserve">  To be covered in the Q&amp;A section at the end of the meeting.</w:t>
      </w:r>
    </w:p>
    <w:p w14:paraId="6F7ECBB6" w14:textId="6E59FA87" w:rsidR="001A5356" w:rsidRPr="001A5356" w:rsidRDefault="001A5356" w:rsidP="00AE0818">
      <w:pPr>
        <w:rPr>
          <w:b/>
        </w:rPr>
      </w:pPr>
    </w:p>
    <w:p w14:paraId="0947A88A" w14:textId="53332422" w:rsidR="001A5356" w:rsidRDefault="001A5356" w:rsidP="001A5356">
      <w:pPr>
        <w:rPr>
          <w:b/>
        </w:rPr>
      </w:pPr>
      <w:r w:rsidRPr="001A5356">
        <w:rPr>
          <w:b/>
        </w:rPr>
        <w:t>Martin D’Arcy: On page 34 it says SCC paid £12k which was for the SBIC.  Is that the full extent of SCC contributions to SWT now?</w:t>
      </w:r>
    </w:p>
    <w:p w14:paraId="0C245805" w14:textId="4BB7FF28" w:rsidR="001A5356" w:rsidRPr="001A5356" w:rsidRDefault="001A5356" w:rsidP="001A5356">
      <w:pPr>
        <w:rPr>
          <w:bCs/>
        </w:rPr>
      </w:pPr>
      <w:r>
        <w:rPr>
          <w:b/>
        </w:rPr>
        <w:t xml:space="preserve">A:  </w:t>
      </w:r>
      <w:r>
        <w:rPr>
          <w:bCs/>
        </w:rPr>
        <w:t>Roger Wild responded.  That grant towards SBIC data centre was the only grant SCC made last year. The Trust ha</w:t>
      </w:r>
      <w:r w:rsidR="00EA76A4">
        <w:rPr>
          <w:bCs/>
        </w:rPr>
        <w:t>d</w:t>
      </w:r>
      <w:r>
        <w:rPr>
          <w:bCs/>
        </w:rPr>
        <w:t xml:space="preserve"> a number of areas of co-operation with SCC and continue</w:t>
      </w:r>
      <w:r w:rsidR="00EA76A4">
        <w:rPr>
          <w:bCs/>
        </w:rPr>
        <w:t>d</w:t>
      </w:r>
      <w:r>
        <w:rPr>
          <w:bCs/>
        </w:rPr>
        <w:t xml:space="preserve"> to have other contract-related work under the new arrangements, </w:t>
      </w:r>
      <w:proofErr w:type="spellStart"/>
      <w:proofErr w:type="gramStart"/>
      <w:r>
        <w:rPr>
          <w:bCs/>
        </w:rPr>
        <w:t>eg</w:t>
      </w:r>
      <w:proofErr w:type="spellEnd"/>
      <w:proofErr w:type="gramEnd"/>
      <w:r>
        <w:rPr>
          <w:bCs/>
        </w:rPr>
        <w:t xml:space="preserve"> ecology services and mowing on their Countryside Estate for which the Trust receive</w:t>
      </w:r>
      <w:r w:rsidR="00EA76A4">
        <w:rPr>
          <w:bCs/>
        </w:rPr>
        <w:t>d</w:t>
      </w:r>
      <w:r>
        <w:rPr>
          <w:bCs/>
        </w:rPr>
        <w:t xml:space="preserve"> payment.  </w:t>
      </w:r>
    </w:p>
    <w:p w14:paraId="0CECFF2A" w14:textId="1779BD7E" w:rsidR="001A5356" w:rsidRPr="001A5356" w:rsidRDefault="001A5356" w:rsidP="00AE0818">
      <w:pPr>
        <w:rPr>
          <w:bCs/>
        </w:rPr>
      </w:pPr>
    </w:p>
    <w:p w14:paraId="18CAF140" w14:textId="09ADE995" w:rsidR="00115FCD" w:rsidRPr="008276FE" w:rsidRDefault="001A5356" w:rsidP="00AE0818">
      <w:pPr>
        <w:rPr>
          <w:b/>
        </w:rPr>
      </w:pPr>
      <w:r>
        <w:rPr>
          <w:b/>
        </w:rPr>
        <w:t xml:space="preserve">Pam </w:t>
      </w:r>
      <w:proofErr w:type="spellStart"/>
      <w:r>
        <w:rPr>
          <w:b/>
        </w:rPr>
        <w:t>Whyman</w:t>
      </w:r>
      <w:proofErr w:type="spellEnd"/>
      <w:r w:rsidRPr="008276FE">
        <w:rPr>
          <w:b/>
        </w:rPr>
        <w:t>: The route through the website to find the AGM papers may need better clarification for members in the future.</w:t>
      </w:r>
    </w:p>
    <w:p w14:paraId="5B25D061" w14:textId="2C5E56B4" w:rsidR="00115FCD" w:rsidRPr="00630D05" w:rsidRDefault="00630D05" w:rsidP="00AE0818">
      <w:pPr>
        <w:rPr>
          <w:bCs/>
        </w:rPr>
      </w:pPr>
      <w:r>
        <w:rPr>
          <w:b/>
        </w:rPr>
        <w:t xml:space="preserve">A:  </w:t>
      </w:r>
      <w:r w:rsidRPr="00630D05">
        <w:rPr>
          <w:bCs/>
        </w:rPr>
        <w:t>This was agreed by the Chair and a note taken to be very explicit in future regarding the location of the AGM papers</w:t>
      </w:r>
      <w:r>
        <w:rPr>
          <w:bCs/>
        </w:rPr>
        <w:t xml:space="preserve"> on the website. </w:t>
      </w:r>
      <w:r w:rsidR="00B56DAF">
        <w:rPr>
          <w:bCs/>
        </w:rPr>
        <w:t xml:space="preserve"> A link was then provided to the documents online.</w:t>
      </w:r>
    </w:p>
    <w:p w14:paraId="3267BBBF" w14:textId="6F6D09D6" w:rsidR="00115FCD" w:rsidRDefault="00115FCD" w:rsidP="00AE0818">
      <w:pPr>
        <w:rPr>
          <w:b/>
        </w:rPr>
      </w:pPr>
    </w:p>
    <w:p w14:paraId="5A973EDB" w14:textId="44AB0D98" w:rsidR="00B56DAF" w:rsidRDefault="00B56DAF" w:rsidP="00B56DAF">
      <w:r>
        <w:t xml:space="preserve">There being no further </w:t>
      </w:r>
      <w:r w:rsidR="00EA76A4">
        <w:t xml:space="preserve">questions or </w:t>
      </w:r>
      <w:r>
        <w:t xml:space="preserve">comments, an ordinary resolution to </w:t>
      </w:r>
      <w:r w:rsidR="000D04DC">
        <w:t xml:space="preserve">accept </w:t>
      </w:r>
      <w:r>
        <w:t>the Company Report, Accounts and Auditors Report via a poll launched on screen or via the Q&amp;A function</w:t>
      </w:r>
      <w:r w:rsidR="00EA76A4">
        <w:t xml:space="preserve"> was taken</w:t>
      </w:r>
      <w:r>
        <w:t xml:space="preserve">.  Roger Wild, as Company Secretary, announced the preliminary result, including the 72 proxy votes received prior to the meeting: </w:t>
      </w:r>
    </w:p>
    <w:p w14:paraId="77533345" w14:textId="3A311474" w:rsidR="00B56DAF" w:rsidRDefault="00B56DAF" w:rsidP="00B56DAF"/>
    <w:p w14:paraId="4DE2C47E" w14:textId="75B492B0" w:rsidR="00B56DAF" w:rsidRDefault="00B56DAF" w:rsidP="00B56DAF">
      <w:r>
        <w:t>In favour:</w:t>
      </w:r>
      <w:r>
        <w:tab/>
        <w:t>120</w:t>
      </w:r>
    </w:p>
    <w:p w14:paraId="0F98FB4E" w14:textId="7A0B2EFE" w:rsidR="00B56DAF" w:rsidRDefault="00B56DAF" w:rsidP="00B56DAF">
      <w:r>
        <w:t>Against:</w:t>
      </w:r>
      <w:r>
        <w:tab/>
        <w:t xml:space="preserve">    0</w:t>
      </w:r>
    </w:p>
    <w:p w14:paraId="7AED9787" w14:textId="76D1A7C0" w:rsidR="00B56DAF" w:rsidRDefault="00B56DAF" w:rsidP="00B56DAF">
      <w:r>
        <w:t>Withheld:</w:t>
      </w:r>
      <w:r>
        <w:tab/>
        <w:t xml:space="preserve">    2</w:t>
      </w:r>
    </w:p>
    <w:p w14:paraId="07DB1F17" w14:textId="77777777" w:rsidR="00B56DAF" w:rsidRDefault="00B56DAF" w:rsidP="00B56DAF"/>
    <w:p w14:paraId="451F3DEB" w14:textId="064276CD" w:rsidR="00B56DAF" w:rsidRDefault="00B56DAF" w:rsidP="00AE0818">
      <w:pPr>
        <w:rPr>
          <w:b/>
        </w:rPr>
      </w:pPr>
      <w:r>
        <w:rPr>
          <w:b/>
        </w:rPr>
        <w:lastRenderedPageBreak/>
        <w:t>The resolution was therefore approved.</w:t>
      </w:r>
    </w:p>
    <w:p w14:paraId="3ED4545D" w14:textId="72B54EF8" w:rsidR="00B56DAF" w:rsidRDefault="00B56DAF" w:rsidP="00AE0818">
      <w:pPr>
        <w:rPr>
          <w:b/>
        </w:rPr>
      </w:pPr>
    </w:p>
    <w:p w14:paraId="0BD11189" w14:textId="77777777" w:rsidR="00B56DAF" w:rsidRDefault="00B56DAF" w:rsidP="00B56DAF">
      <w:r>
        <w:t xml:space="preserve">Final voting results would be published in the Minutes following checks to ensure no double voting had occurred. </w:t>
      </w:r>
    </w:p>
    <w:p w14:paraId="2CC62F37" w14:textId="0322F789" w:rsidR="0043026C" w:rsidRDefault="0043026C" w:rsidP="00AE0818">
      <w:pPr>
        <w:rPr>
          <w:b/>
        </w:rPr>
      </w:pPr>
    </w:p>
    <w:p w14:paraId="6F7F03F4" w14:textId="77777777" w:rsidR="00592256" w:rsidRDefault="00592256" w:rsidP="00AE0818">
      <w:pPr>
        <w:rPr>
          <w:b/>
        </w:rPr>
      </w:pPr>
    </w:p>
    <w:p w14:paraId="51366FC5" w14:textId="77777777" w:rsidR="00D72695" w:rsidRPr="00D72695" w:rsidRDefault="00D72695" w:rsidP="00D72695">
      <w:pPr>
        <w:ind w:left="720" w:hanging="720"/>
        <w:jc w:val="both"/>
        <w:rPr>
          <w:iCs/>
        </w:rPr>
      </w:pPr>
      <w:r w:rsidRPr="00D72695">
        <w:rPr>
          <w:b/>
        </w:rPr>
        <w:t>4</w:t>
      </w:r>
      <w:r w:rsidR="000A43CB" w:rsidRPr="00D72695">
        <w:rPr>
          <w:b/>
        </w:rPr>
        <w:t>.</w:t>
      </w:r>
      <w:r w:rsidR="000A43CB" w:rsidRPr="00D72695">
        <w:rPr>
          <w:b/>
        </w:rPr>
        <w:tab/>
      </w:r>
      <w:r w:rsidRPr="00D72695">
        <w:rPr>
          <w:b/>
          <w:bCs/>
          <w:iCs/>
        </w:rPr>
        <w:t>Re-appointment of Menzies LLP as the Auditor of the Company and authorising the Trustees to agree the Auditor’s remuneration</w:t>
      </w:r>
    </w:p>
    <w:p w14:paraId="4A0E17CA" w14:textId="306AB81A" w:rsidR="00966C05" w:rsidRDefault="00966C05" w:rsidP="00AE0818">
      <w:pPr>
        <w:rPr>
          <w:b/>
        </w:rPr>
      </w:pPr>
    </w:p>
    <w:p w14:paraId="71AFD7C2" w14:textId="1630330A" w:rsidR="00B56DAF" w:rsidRDefault="00B56DAF" w:rsidP="00B56DAF">
      <w:r>
        <w:t xml:space="preserve">Gerry Bacon explained the Governance of Trustees, reporting to the Trust via an Audit Committee </w:t>
      </w:r>
      <w:r w:rsidR="00592256">
        <w:t xml:space="preserve">which </w:t>
      </w:r>
      <w:r>
        <w:t xml:space="preserve">met 4-6 times a year </w:t>
      </w:r>
      <w:r w:rsidR="00592256">
        <w:t>and reviewed</w:t>
      </w:r>
      <w:r>
        <w:t xml:space="preserve"> financial matters</w:t>
      </w:r>
      <w:r w:rsidR="00592256">
        <w:t xml:space="preserve">. One responsibility of that Committee was to </w:t>
      </w:r>
      <w:r>
        <w:t xml:space="preserve">liaise with </w:t>
      </w:r>
      <w:r w:rsidR="00592256">
        <w:t>the A</w:t>
      </w:r>
      <w:r>
        <w:t xml:space="preserve">uditors and </w:t>
      </w:r>
      <w:r w:rsidR="00592256">
        <w:t>r</w:t>
      </w:r>
      <w:r>
        <w:t xml:space="preserve">ecommend to </w:t>
      </w:r>
      <w:r w:rsidR="00592256">
        <w:t>C</w:t>
      </w:r>
      <w:r>
        <w:t xml:space="preserve">ouncil who to appoint. </w:t>
      </w:r>
      <w:r w:rsidR="00592256">
        <w:t xml:space="preserve">Approval was now sought from Members to </w:t>
      </w:r>
      <w:r>
        <w:t>re</w:t>
      </w:r>
      <w:r w:rsidR="00592256">
        <w:t>-</w:t>
      </w:r>
      <w:r>
        <w:t>app</w:t>
      </w:r>
      <w:r w:rsidR="00592256">
        <w:t>o</w:t>
      </w:r>
      <w:r>
        <w:t xml:space="preserve">int Menzies as auditors for the coming year to </w:t>
      </w:r>
      <w:r w:rsidR="00592256">
        <w:t>M</w:t>
      </w:r>
      <w:r>
        <w:t>arch 2021.</w:t>
      </w:r>
    </w:p>
    <w:p w14:paraId="27D89B3F" w14:textId="3BC879A8" w:rsidR="00592256" w:rsidRDefault="00592256" w:rsidP="00B56DAF"/>
    <w:p w14:paraId="14EFFD99" w14:textId="345D2FA8" w:rsidR="00592256" w:rsidRPr="00592256" w:rsidRDefault="00592256" w:rsidP="00B56DAF">
      <w:pPr>
        <w:rPr>
          <w:b/>
          <w:bCs/>
        </w:rPr>
      </w:pPr>
      <w:r w:rsidRPr="00592256">
        <w:rPr>
          <w:b/>
          <w:bCs/>
        </w:rPr>
        <w:t>Comments/questions received online:</w:t>
      </w:r>
    </w:p>
    <w:p w14:paraId="19B36CD0" w14:textId="2DE1AC95" w:rsidR="000A43CB" w:rsidRDefault="000A43CB" w:rsidP="00AE0818"/>
    <w:p w14:paraId="45A6A89F" w14:textId="5222B457" w:rsidR="00D72695" w:rsidRDefault="00592256" w:rsidP="00AE0818">
      <w:pPr>
        <w:rPr>
          <w:b/>
          <w:bCs/>
          <w:i/>
          <w:iCs/>
        </w:rPr>
      </w:pPr>
      <w:r w:rsidRPr="00592256">
        <w:rPr>
          <w:b/>
          <w:bCs/>
          <w:i/>
          <w:iCs/>
        </w:rPr>
        <w:t>John Bullock:  How long since we tendered audit services?</w:t>
      </w:r>
    </w:p>
    <w:p w14:paraId="26B4519A" w14:textId="6D3EF1A6" w:rsidR="00592256" w:rsidRDefault="00592256" w:rsidP="00592256">
      <w:r w:rsidRPr="00592256">
        <w:rPr>
          <w:b/>
          <w:bCs/>
        </w:rPr>
        <w:t xml:space="preserve">A.  </w:t>
      </w:r>
      <w:r>
        <w:t>Menzies were appointed 8-10 years ago.  It was planned to re-tender the audit position for best governance this year but, due to Covid-19, the decision was taken that it would be better to retain Menzies during the pandemic due to their knowledge of the organisation. The Trust would look to re-tender next year.</w:t>
      </w:r>
    </w:p>
    <w:p w14:paraId="22C95322" w14:textId="20871380" w:rsidR="00592256" w:rsidRDefault="00592256" w:rsidP="00592256"/>
    <w:p w14:paraId="1E1DFE84" w14:textId="3993A059" w:rsidR="00592256" w:rsidRDefault="00592256" w:rsidP="00592256">
      <w:r>
        <w:t xml:space="preserve">There being no further comments/questions, an ordinary resolution to approve the </w:t>
      </w:r>
      <w:r w:rsidR="005F04A5">
        <w:t xml:space="preserve">appointment of Menzies as Auditors of the Company </w:t>
      </w:r>
      <w:r>
        <w:t>was taken via a poll launched on screen</w:t>
      </w:r>
      <w:r w:rsidR="005F04A5">
        <w:t xml:space="preserve"> or via the Q&amp;A function</w:t>
      </w:r>
      <w:r>
        <w:t xml:space="preserve">. Roger Wild, as Company Secretary, announced the preliminary result, which included the 72 proxy votes received prior to the meeting: </w:t>
      </w:r>
    </w:p>
    <w:p w14:paraId="7FB9C59F" w14:textId="77777777" w:rsidR="00592256" w:rsidRDefault="00592256" w:rsidP="00592256"/>
    <w:p w14:paraId="58F4CC44" w14:textId="386E27A2" w:rsidR="00592256" w:rsidRDefault="00592256" w:rsidP="00592256">
      <w:r>
        <w:t>In favour:</w:t>
      </w:r>
      <w:r>
        <w:tab/>
        <w:t>1</w:t>
      </w:r>
      <w:r w:rsidR="005F04A5">
        <w:t>16</w:t>
      </w:r>
    </w:p>
    <w:p w14:paraId="424D3DD8" w14:textId="30D48334" w:rsidR="00592256" w:rsidRDefault="00592256" w:rsidP="00592256">
      <w:r>
        <w:t>Against:</w:t>
      </w:r>
      <w:r>
        <w:tab/>
        <w:t xml:space="preserve">     </w:t>
      </w:r>
      <w:r w:rsidR="005F04A5">
        <w:t>0</w:t>
      </w:r>
    </w:p>
    <w:p w14:paraId="284A6BF3" w14:textId="78FFD8B5" w:rsidR="00592256" w:rsidRDefault="00592256" w:rsidP="00592256">
      <w:r>
        <w:t>Withheld:</w:t>
      </w:r>
      <w:r>
        <w:tab/>
        <w:t xml:space="preserve">     </w:t>
      </w:r>
      <w:r w:rsidR="005F04A5">
        <w:t>1</w:t>
      </w:r>
    </w:p>
    <w:p w14:paraId="7903C84C" w14:textId="77777777" w:rsidR="00592256" w:rsidRDefault="00592256" w:rsidP="00592256"/>
    <w:p w14:paraId="3458D543" w14:textId="77777777" w:rsidR="00825295" w:rsidRDefault="00825295" w:rsidP="00825295">
      <w:pPr>
        <w:rPr>
          <w:b/>
        </w:rPr>
      </w:pPr>
      <w:r>
        <w:rPr>
          <w:b/>
        </w:rPr>
        <w:t>The resolution was therefore approved.</w:t>
      </w:r>
    </w:p>
    <w:p w14:paraId="4EFA3D9C" w14:textId="77777777" w:rsidR="00825295" w:rsidRDefault="00825295" w:rsidP="00825295">
      <w:pPr>
        <w:rPr>
          <w:b/>
        </w:rPr>
      </w:pPr>
    </w:p>
    <w:p w14:paraId="711A7471" w14:textId="77777777" w:rsidR="00825295" w:rsidRDefault="00825295" w:rsidP="00825295">
      <w:r>
        <w:t xml:space="preserve">Final voting results would be published in the Minutes following checks to ensure no double voting had occurred. </w:t>
      </w:r>
    </w:p>
    <w:p w14:paraId="0F78B5AE" w14:textId="1EF20D09" w:rsidR="00D72695" w:rsidRDefault="00D72695" w:rsidP="00AE0818"/>
    <w:p w14:paraId="46EAE105" w14:textId="77777777" w:rsidR="00825295" w:rsidRDefault="00825295" w:rsidP="00AE0818"/>
    <w:p w14:paraId="097333BD" w14:textId="34DC9CFB" w:rsidR="00D72695" w:rsidRDefault="00D72695" w:rsidP="00AE0818">
      <w:pPr>
        <w:rPr>
          <w:b/>
          <w:bCs/>
        </w:rPr>
      </w:pPr>
      <w:r w:rsidRPr="00D72695">
        <w:rPr>
          <w:b/>
          <w:bCs/>
        </w:rPr>
        <w:t>5.</w:t>
      </w:r>
      <w:r w:rsidRPr="00D72695">
        <w:rPr>
          <w:b/>
          <w:bCs/>
        </w:rPr>
        <w:tab/>
        <w:t>Election and Re-election of Trustees</w:t>
      </w:r>
    </w:p>
    <w:p w14:paraId="0E7F1431" w14:textId="42998491" w:rsidR="00D72695" w:rsidRPr="00D72695" w:rsidRDefault="00D72695" w:rsidP="00AE0818">
      <w:r>
        <w:rPr>
          <w:b/>
          <w:bCs/>
        </w:rPr>
        <w:tab/>
      </w:r>
      <w:r w:rsidRPr="00D72695">
        <w:t>Removed from the Agenda.</w:t>
      </w:r>
    </w:p>
    <w:p w14:paraId="045B1260" w14:textId="3BC752FC" w:rsidR="00D72695" w:rsidRDefault="00D72695" w:rsidP="00AE0818"/>
    <w:p w14:paraId="68C7630A" w14:textId="77777777" w:rsidR="00825295" w:rsidRPr="00D72695" w:rsidRDefault="00825295" w:rsidP="00AE0818"/>
    <w:p w14:paraId="37468E33" w14:textId="4C5D9021" w:rsidR="00FF3301" w:rsidRPr="00D72695" w:rsidRDefault="00D72695" w:rsidP="00D72695">
      <w:pPr>
        <w:ind w:left="720" w:hanging="720"/>
        <w:rPr>
          <w:b/>
          <w:bCs/>
        </w:rPr>
      </w:pPr>
      <w:r w:rsidRPr="00D72695">
        <w:rPr>
          <w:b/>
          <w:bCs/>
        </w:rPr>
        <w:t>6.</w:t>
      </w:r>
      <w:r w:rsidRPr="00D72695">
        <w:rPr>
          <w:b/>
          <w:bCs/>
        </w:rPr>
        <w:tab/>
      </w:r>
      <w:r w:rsidRPr="00D72695">
        <w:rPr>
          <w:b/>
          <w:bCs/>
          <w:iCs/>
        </w:rPr>
        <w:t>Any other business notified to members in accordance with the Articles of Association of the Trust</w:t>
      </w:r>
    </w:p>
    <w:p w14:paraId="28CA126C" w14:textId="167F9003" w:rsidR="0043026C" w:rsidRDefault="0043026C" w:rsidP="00AE0818"/>
    <w:p w14:paraId="5914E590" w14:textId="1838777E" w:rsidR="006D116E" w:rsidRDefault="006D116E" w:rsidP="006D116E">
      <w:r>
        <w:t xml:space="preserve">Members were invited to submit questions to </w:t>
      </w:r>
      <w:r w:rsidR="0083733E">
        <w:t xml:space="preserve">members of the </w:t>
      </w:r>
      <w:r>
        <w:t>panel which included Trustees and the Trust’s Leadership Team.</w:t>
      </w:r>
    </w:p>
    <w:p w14:paraId="36C474B1" w14:textId="494CE262" w:rsidR="00D72695" w:rsidRDefault="00D72695" w:rsidP="00AE0818"/>
    <w:p w14:paraId="77D15404" w14:textId="1EA76869" w:rsidR="0083733E" w:rsidRDefault="0083733E" w:rsidP="0083733E">
      <w:r>
        <w:t xml:space="preserve">In answer to the earlier question submitted by </w:t>
      </w:r>
      <w:r w:rsidRPr="0083733E">
        <w:t>John Bullock asking whether the Trust had clear policies regarding ethical standards of the acceptance of donations and the partners it worked with</w:t>
      </w:r>
      <w:r>
        <w:t>, Sarah Jane Chimbwandira</w:t>
      </w:r>
      <w:r w:rsidR="00EA76A4">
        <w:t>, CEO,</w:t>
      </w:r>
      <w:r>
        <w:t xml:space="preserve"> responded: </w:t>
      </w:r>
    </w:p>
    <w:p w14:paraId="3BA1E502" w14:textId="77777777" w:rsidR="0083733E" w:rsidRDefault="0083733E" w:rsidP="0083733E"/>
    <w:p w14:paraId="1262A67D" w14:textId="326F3642" w:rsidR="0083733E" w:rsidRDefault="0083733E" w:rsidP="0083733E">
      <w:r>
        <w:lastRenderedPageBreak/>
        <w:t xml:space="preserve">The Trust did have </w:t>
      </w:r>
      <w:r w:rsidR="00195475">
        <w:t xml:space="preserve">some </w:t>
      </w:r>
      <w:r>
        <w:t xml:space="preserve">policies or position statements on specific areas, </w:t>
      </w:r>
      <w:proofErr w:type="spellStart"/>
      <w:proofErr w:type="gramStart"/>
      <w:r w:rsidR="004A3B0E">
        <w:t>eg</w:t>
      </w:r>
      <w:proofErr w:type="spellEnd"/>
      <w:proofErr w:type="gramEnd"/>
      <w:r w:rsidR="004A3B0E">
        <w:t xml:space="preserve"> development, </w:t>
      </w:r>
      <w:r>
        <w:t xml:space="preserve">but it not have a specific policy around donations and support.  The Trust was currently reviewing </w:t>
      </w:r>
      <w:r w:rsidR="00195475">
        <w:t>its</w:t>
      </w:r>
      <w:r>
        <w:t xml:space="preserve"> polic</w:t>
      </w:r>
      <w:r w:rsidR="00EA76A4">
        <w:t>y</w:t>
      </w:r>
      <w:r>
        <w:t xml:space="preserve"> </w:t>
      </w:r>
      <w:r w:rsidR="00195475">
        <w:t xml:space="preserve">on </w:t>
      </w:r>
      <w:r>
        <w:t xml:space="preserve">the organisations own sustainability and ethical </w:t>
      </w:r>
      <w:proofErr w:type="gramStart"/>
      <w:r>
        <w:t>approach</w:t>
      </w:r>
      <w:proofErr w:type="gramEnd"/>
      <w:r>
        <w:t xml:space="preserve"> and this would be brought forward.  It was very important to recognise that one of the organisation’s biggest opportunities to drive the sort of change that was needed was through pro-active dialogue with those </w:t>
      </w:r>
      <w:r w:rsidR="00195475">
        <w:t xml:space="preserve">organisations </w:t>
      </w:r>
      <w:r>
        <w:t xml:space="preserve">who </w:t>
      </w:r>
      <w:r w:rsidR="00195475">
        <w:t>we</w:t>
      </w:r>
      <w:r>
        <w:t>re making genuine efforts to reduce their environmental impact</w:t>
      </w:r>
      <w:r w:rsidR="00195475">
        <w:t>.  So, w</w:t>
      </w:r>
      <w:r>
        <w:t>here it</w:t>
      </w:r>
      <w:r w:rsidR="00195475">
        <w:t xml:space="preserve"> wa</w:t>
      </w:r>
      <w:r>
        <w:t>s appropriate</w:t>
      </w:r>
      <w:r w:rsidR="00195475">
        <w:t xml:space="preserve">, the Trust would work </w:t>
      </w:r>
      <w:r>
        <w:t>with org</w:t>
      </w:r>
      <w:r w:rsidR="00195475">
        <w:t>ani</w:t>
      </w:r>
      <w:r>
        <w:t>s</w:t>
      </w:r>
      <w:r w:rsidR="00195475">
        <w:t>ations</w:t>
      </w:r>
      <w:r>
        <w:t xml:space="preserve"> who </w:t>
      </w:r>
      <w:r w:rsidR="00195475">
        <w:t xml:space="preserve">it </w:t>
      </w:r>
      <w:r>
        <w:t>believe</w:t>
      </w:r>
      <w:r w:rsidR="00195475">
        <w:t>d</w:t>
      </w:r>
      <w:r>
        <w:t xml:space="preserve"> </w:t>
      </w:r>
      <w:r w:rsidR="00195475">
        <w:t xml:space="preserve">were </w:t>
      </w:r>
      <w:r>
        <w:t>ma</w:t>
      </w:r>
      <w:r w:rsidR="00195475">
        <w:t>k</w:t>
      </w:r>
      <w:r>
        <w:t>ing gen</w:t>
      </w:r>
      <w:r w:rsidR="00195475">
        <w:t>uine</w:t>
      </w:r>
      <w:r>
        <w:t xml:space="preserve"> efforts to</w:t>
      </w:r>
      <w:r w:rsidR="00195475">
        <w:t xml:space="preserve"> lessen </w:t>
      </w:r>
      <w:r>
        <w:t>their impact on the nat</w:t>
      </w:r>
      <w:r w:rsidR="00195475">
        <w:t>ural</w:t>
      </w:r>
      <w:r>
        <w:t xml:space="preserve"> environment</w:t>
      </w:r>
      <w:r w:rsidR="00195475">
        <w:t>.</w:t>
      </w:r>
    </w:p>
    <w:p w14:paraId="352DEE87" w14:textId="77777777" w:rsidR="00195475" w:rsidRDefault="00195475" w:rsidP="0083733E"/>
    <w:p w14:paraId="6D99D4DC" w14:textId="773F04F0" w:rsidR="0083733E" w:rsidRDefault="0083733E" w:rsidP="0083733E">
      <w:r>
        <w:t>No further questions</w:t>
      </w:r>
      <w:r w:rsidR="004A3B0E">
        <w:t xml:space="preserve"> were submitted.</w:t>
      </w:r>
    </w:p>
    <w:p w14:paraId="47AD5643" w14:textId="5FD3118B" w:rsidR="004A3B0E" w:rsidRDefault="004A3B0E" w:rsidP="0083733E"/>
    <w:p w14:paraId="05ADC1F4" w14:textId="6F81633B" w:rsidR="00123898" w:rsidRDefault="00123898" w:rsidP="00AE0818">
      <w:pPr>
        <w:rPr>
          <w:b/>
        </w:rPr>
      </w:pPr>
      <w:r>
        <w:rPr>
          <w:b/>
        </w:rPr>
        <w:t>7</w:t>
      </w:r>
      <w:r w:rsidR="00EA76A4">
        <w:rPr>
          <w:b/>
        </w:rPr>
        <w:t>.</w:t>
      </w:r>
      <w:r w:rsidRPr="005915CA">
        <w:rPr>
          <w:b/>
        </w:rPr>
        <w:tab/>
        <w:t>Close of formal meeting</w:t>
      </w:r>
    </w:p>
    <w:p w14:paraId="75F65307" w14:textId="77777777" w:rsidR="00123898" w:rsidRPr="005915CA" w:rsidRDefault="00123898" w:rsidP="00AE0818">
      <w:pPr>
        <w:rPr>
          <w:b/>
        </w:rPr>
      </w:pPr>
    </w:p>
    <w:p w14:paraId="05DC25E3" w14:textId="38CA0BFC" w:rsidR="00123898" w:rsidRPr="006B1D20" w:rsidRDefault="00123898" w:rsidP="00AE0818">
      <w:r w:rsidRPr="006B1D20">
        <w:t xml:space="preserve">There being no further formal business the meeting </w:t>
      </w:r>
      <w:r w:rsidR="00EA76A4">
        <w:t xml:space="preserve">was </w:t>
      </w:r>
      <w:r w:rsidRPr="006B1D20">
        <w:t>then closed</w:t>
      </w:r>
      <w:r w:rsidR="00EA76A4">
        <w:t xml:space="preserve">. </w:t>
      </w:r>
    </w:p>
    <w:p w14:paraId="69A63022" w14:textId="77777777" w:rsidR="005A6AAC" w:rsidRDefault="00123898" w:rsidP="00AE0818">
      <w:pPr>
        <w:tabs>
          <w:tab w:val="left" w:pos="2025"/>
        </w:tabs>
        <w:rPr>
          <w:b/>
        </w:rPr>
      </w:pPr>
      <w:r>
        <w:rPr>
          <w:b/>
        </w:rPr>
        <w:tab/>
      </w:r>
    </w:p>
    <w:p w14:paraId="27916ACF" w14:textId="77777777" w:rsidR="005A6AAC" w:rsidRDefault="005A6AAC" w:rsidP="00AE0818"/>
    <w:p w14:paraId="10BB549A" w14:textId="77777777" w:rsidR="0043026C" w:rsidRDefault="0043026C" w:rsidP="00AE0818"/>
    <w:p w14:paraId="7DA963C5" w14:textId="77777777" w:rsidR="0043026C" w:rsidRDefault="0043026C" w:rsidP="00AE0818"/>
    <w:p w14:paraId="666575E0" w14:textId="77777777" w:rsidR="0043026C" w:rsidRDefault="0043026C" w:rsidP="00AE0818"/>
    <w:p w14:paraId="7750C67A" w14:textId="77777777" w:rsidR="005A6AAC" w:rsidRPr="006B1D20" w:rsidRDefault="005A6AAC" w:rsidP="00AE0818"/>
    <w:p w14:paraId="70DB2AAE" w14:textId="77777777" w:rsidR="00BE4EF3" w:rsidRPr="006B1D20" w:rsidRDefault="00BE4EF3" w:rsidP="00AE0818">
      <w:r w:rsidRPr="006B1D20">
        <w:t>……………………………………………………………………………….</w:t>
      </w:r>
    </w:p>
    <w:p w14:paraId="230158DD" w14:textId="77777777" w:rsidR="00DC424D" w:rsidRDefault="00BE4EF3" w:rsidP="00AE0818">
      <w:r w:rsidRPr="006B1D20">
        <w:t>Chairman</w:t>
      </w:r>
    </w:p>
    <w:p w14:paraId="05BACF4F" w14:textId="4B2076E2" w:rsidR="00DC424D" w:rsidRDefault="00DC424D" w:rsidP="00AE0818"/>
    <w:p w14:paraId="377D8C47" w14:textId="667B40E7" w:rsidR="000B4FCC" w:rsidRDefault="000B4FCC" w:rsidP="00AE0818"/>
    <w:p w14:paraId="2175D834" w14:textId="77777777" w:rsidR="000B4FCC" w:rsidRDefault="000B4FCC" w:rsidP="00AE0818"/>
    <w:p w14:paraId="6E24BAAC" w14:textId="1FBAFCF3" w:rsidR="00D72695" w:rsidRDefault="00D72695" w:rsidP="00AE0818"/>
    <w:p w14:paraId="6386C194" w14:textId="07D4007E" w:rsidR="00A344AE" w:rsidRPr="00A344AE" w:rsidRDefault="00A344AE" w:rsidP="00AE0818">
      <w:pPr>
        <w:rPr>
          <w:b/>
          <w:bCs/>
        </w:rPr>
      </w:pPr>
      <w:r w:rsidRPr="00A344AE">
        <w:rPr>
          <w:b/>
          <w:bCs/>
        </w:rPr>
        <w:t>POST MEETING POLLING SUMMARY</w:t>
      </w:r>
    </w:p>
    <w:p w14:paraId="49C1A252" w14:textId="247CF025" w:rsidR="00A344AE" w:rsidRDefault="00A344AE" w:rsidP="00AE0818"/>
    <w:p w14:paraId="68157270" w14:textId="11A5C674" w:rsidR="00A344AE" w:rsidRDefault="00A344AE" w:rsidP="00AE0818">
      <w:r>
        <w:t>Following the checks carried out on proxy votes, votes submitted by the Q&amp;A function and live poll votes, the final polling summary was as follows:</w:t>
      </w:r>
    </w:p>
    <w:p w14:paraId="121A4F66" w14:textId="77777777" w:rsidR="00D72695" w:rsidRDefault="00D72695" w:rsidP="00D72695">
      <w:pPr>
        <w:rPr>
          <w:b/>
        </w:rPr>
      </w:pPr>
    </w:p>
    <w:tbl>
      <w:tblPr>
        <w:tblW w:w="11080" w:type="dxa"/>
        <w:tblInd w:w="-15" w:type="dxa"/>
        <w:tblCellMar>
          <w:left w:w="0" w:type="dxa"/>
          <w:right w:w="0" w:type="dxa"/>
        </w:tblCellMar>
        <w:tblLook w:val="04A0" w:firstRow="1" w:lastRow="0" w:firstColumn="1" w:lastColumn="0" w:noHBand="0" w:noVBand="1"/>
      </w:tblPr>
      <w:tblGrid>
        <w:gridCol w:w="4360"/>
        <w:gridCol w:w="960"/>
        <w:gridCol w:w="960"/>
        <w:gridCol w:w="988"/>
        <w:gridCol w:w="960"/>
        <w:gridCol w:w="960"/>
        <w:gridCol w:w="960"/>
        <w:gridCol w:w="960"/>
      </w:tblGrid>
      <w:tr w:rsidR="00D72695" w:rsidRPr="000B4FCC" w14:paraId="6719FD75" w14:textId="77777777" w:rsidTr="003F6B1D">
        <w:trPr>
          <w:trHeight w:val="300"/>
        </w:trPr>
        <w:tc>
          <w:tcPr>
            <w:tcW w:w="4360" w:type="dxa"/>
            <w:noWrap/>
            <w:tcMar>
              <w:top w:w="0" w:type="dxa"/>
              <w:left w:w="108" w:type="dxa"/>
              <w:bottom w:w="0" w:type="dxa"/>
              <w:right w:w="108" w:type="dxa"/>
            </w:tcMar>
            <w:vAlign w:val="bottom"/>
            <w:hideMark/>
          </w:tcPr>
          <w:p w14:paraId="1664B9B9" w14:textId="77777777" w:rsidR="00D72695" w:rsidRPr="000B4FCC" w:rsidRDefault="00D72695" w:rsidP="003F6B1D">
            <w:pPr>
              <w:rPr>
                <w:b/>
                <w:bCs/>
                <w:color w:val="000000"/>
                <w:sz w:val="20"/>
                <w:szCs w:val="20"/>
              </w:rPr>
            </w:pPr>
            <w:r w:rsidRPr="000B4FCC">
              <w:rPr>
                <w:b/>
                <w:bCs/>
                <w:color w:val="000000"/>
                <w:sz w:val="20"/>
                <w:szCs w:val="20"/>
              </w:rPr>
              <w:t>Polling Summary:</w:t>
            </w:r>
          </w:p>
        </w:tc>
        <w:tc>
          <w:tcPr>
            <w:tcW w:w="960" w:type="dxa"/>
            <w:noWrap/>
            <w:tcMar>
              <w:top w:w="0" w:type="dxa"/>
              <w:left w:w="108" w:type="dxa"/>
              <w:bottom w:w="0" w:type="dxa"/>
              <w:right w:w="108" w:type="dxa"/>
            </w:tcMar>
            <w:vAlign w:val="bottom"/>
            <w:hideMark/>
          </w:tcPr>
          <w:p w14:paraId="3135B47E" w14:textId="77777777" w:rsidR="00D72695" w:rsidRPr="000B4FCC" w:rsidRDefault="00D72695" w:rsidP="003F6B1D">
            <w:pPr>
              <w:rPr>
                <w:b/>
                <w:bCs/>
                <w:color w:val="000000"/>
                <w:sz w:val="20"/>
                <w:szCs w:val="20"/>
              </w:rPr>
            </w:pPr>
          </w:p>
        </w:tc>
        <w:tc>
          <w:tcPr>
            <w:tcW w:w="960" w:type="dxa"/>
            <w:noWrap/>
            <w:tcMar>
              <w:top w:w="0" w:type="dxa"/>
              <w:left w:w="108" w:type="dxa"/>
              <w:bottom w:w="0" w:type="dxa"/>
              <w:right w:w="108" w:type="dxa"/>
            </w:tcMar>
            <w:vAlign w:val="bottom"/>
            <w:hideMark/>
          </w:tcPr>
          <w:p w14:paraId="745A07C8"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3CE984D5"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6599BEE9"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563DE130"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1EF4C189"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2EB1691B" w14:textId="77777777" w:rsidR="00D72695" w:rsidRPr="000B4FCC" w:rsidRDefault="00D72695" w:rsidP="003F6B1D">
            <w:pPr>
              <w:rPr>
                <w:rFonts w:ascii="Times New Roman" w:eastAsia="Times New Roman" w:hAnsi="Times New Roman" w:cs="Times New Roman"/>
                <w:sz w:val="20"/>
                <w:szCs w:val="20"/>
              </w:rPr>
            </w:pPr>
          </w:p>
        </w:tc>
      </w:tr>
      <w:tr w:rsidR="00D72695" w:rsidRPr="000B4FCC" w14:paraId="2954FE4F" w14:textId="77777777" w:rsidTr="003F6B1D">
        <w:trPr>
          <w:trHeight w:val="300"/>
        </w:trPr>
        <w:tc>
          <w:tcPr>
            <w:tcW w:w="4360" w:type="dxa"/>
            <w:noWrap/>
            <w:tcMar>
              <w:top w:w="0" w:type="dxa"/>
              <w:left w:w="108" w:type="dxa"/>
              <w:bottom w:w="0" w:type="dxa"/>
              <w:right w:w="108" w:type="dxa"/>
            </w:tcMar>
            <w:vAlign w:val="bottom"/>
            <w:hideMark/>
          </w:tcPr>
          <w:p w14:paraId="6B1D6ABC"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6294AA74"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7C5BFD3A"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700E9925"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7B16230A"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1B4B278D"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2D391BDF"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02EF1714" w14:textId="77777777" w:rsidR="00D72695" w:rsidRPr="000B4FCC" w:rsidRDefault="00D72695" w:rsidP="003F6B1D">
            <w:pPr>
              <w:rPr>
                <w:rFonts w:ascii="Times New Roman" w:eastAsia="Times New Roman" w:hAnsi="Times New Roman" w:cs="Times New Roman"/>
                <w:sz w:val="20"/>
                <w:szCs w:val="20"/>
              </w:rPr>
            </w:pPr>
          </w:p>
        </w:tc>
      </w:tr>
      <w:tr w:rsidR="00D72695" w:rsidRPr="000B4FCC" w14:paraId="3966AFE8" w14:textId="77777777" w:rsidTr="003F6B1D">
        <w:trPr>
          <w:trHeight w:val="300"/>
        </w:trPr>
        <w:tc>
          <w:tcPr>
            <w:tcW w:w="4360" w:type="dxa"/>
            <w:noWrap/>
            <w:tcMar>
              <w:top w:w="0" w:type="dxa"/>
              <w:left w:w="108" w:type="dxa"/>
              <w:bottom w:w="0" w:type="dxa"/>
              <w:right w:w="108" w:type="dxa"/>
            </w:tcMar>
            <w:vAlign w:val="bottom"/>
            <w:hideMark/>
          </w:tcPr>
          <w:p w14:paraId="3CACDE57" w14:textId="77777777" w:rsidR="00D72695" w:rsidRPr="000B4FCC" w:rsidRDefault="00D72695" w:rsidP="003F6B1D">
            <w:pPr>
              <w:rPr>
                <w:rFonts w:ascii="Calibri" w:hAnsi="Calibri" w:cs="Calibri"/>
                <w:b/>
                <w:bCs/>
                <w:color w:val="000000"/>
                <w:sz w:val="20"/>
                <w:szCs w:val="20"/>
              </w:rPr>
            </w:pPr>
            <w:r w:rsidRPr="000B4FCC">
              <w:rPr>
                <w:b/>
                <w:bCs/>
                <w:color w:val="000000"/>
                <w:sz w:val="20"/>
                <w:szCs w:val="20"/>
              </w:rPr>
              <w:t>Resolution</w:t>
            </w:r>
          </w:p>
        </w:tc>
        <w:tc>
          <w:tcPr>
            <w:tcW w:w="960" w:type="dxa"/>
            <w:noWrap/>
            <w:tcMar>
              <w:top w:w="0" w:type="dxa"/>
              <w:left w:w="108" w:type="dxa"/>
              <w:bottom w:w="0" w:type="dxa"/>
              <w:right w:w="108" w:type="dxa"/>
            </w:tcMar>
            <w:vAlign w:val="bottom"/>
            <w:hideMark/>
          </w:tcPr>
          <w:p w14:paraId="4EDA7E94" w14:textId="77777777" w:rsidR="00D72695" w:rsidRPr="000B4FCC" w:rsidRDefault="00D72695" w:rsidP="003F6B1D">
            <w:pPr>
              <w:jc w:val="right"/>
              <w:rPr>
                <w:b/>
                <w:bCs/>
                <w:color w:val="000000"/>
                <w:sz w:val="20"/>
                <w:szCs w:val="20"/>
              </w:rPr>
            </w:pPr>
            <w:r w:rsidRPr="000B4FCC">
              <w:rPr>
                <w:b/>
                <w:bCs/>
                <w:color w:val="000000"/>
                <w:sz w:val="20"/>
                <w:szCs w:val="20"/>
              </w:rPr>
              <w:t>For</w:t>
            </w:r>
          </w:p>
        </w:tc>
        <w:tc>
          <w:tcPr>
            <w:tcW w:w="960" w:type="dxa"/>
            <w:noWrap/>
            <w:tcMar>
              <w:top w:w="0" w:type="dxa"/>
              <w:left w:w="108" w:type="dxa"/>
              <w:bottom w:w="0" w:type="dxa"/>
              <w:right w:w="108" w:type="dxa"/>
            </w:tcMar>
            <w:vAlign w:val="bottom"/>
            <w:hideMark/>
          </w:tcPr>
          <w:p w14:paraId="2F36DED7" w14:textId="77777777" w:rsidR="00D72695" w:rsidRPr="000B4FCC" w:rsidRDefault="00D72695" w:rsidP="003F6B1D">
            <w:pPr>
              <w:jc w:val="right"/>
              <w:rPr>
                <w:b/>
                <w:bCs/>
                <w:color w:val="000000"/>
                <w:sz w:val="20"/>
                <w:szCs w:val="20"/>
              </w:rPr>
            </w:pPr>
            <w:r w:rsidRPr="000B4FCC">
              <w:rPr>
                <w:b/>
                <w:bCs/>
                <w:color w:val="000000"/>
                <w:sz w:val="20"/>
                <w:szCs w:val="20"/>
              </w:rPr>
              <w:t>Against</w:t>
            </w:r>
          </w:p>
        </w:tc>
        <w:tc>
          <w:tcPr>
            <w:tcW w:w="960" w:type="dxa"/>
            <w:noWrap/>
            <w:tcMar>
              <w:top w:w="0" w:type="dxa"/>
              <w:left w:w="108" w:type="dxa"/>
              <w:bottom w:w="0" w:type="dxa"/>
              <w:right w:w="108" w:type="dxa"/>
            </w:tcMar>
            <w:vAlign w:val="bottom"/>
            <w:hideMark/>
          </w:tcPr>
          <w:p w14:paraId="670FA73C" w14:textId="6CBC8303" w:rsidR="00D72695" w:rsidRPr="000B4FCC" w:rsidRDefault="00D72695" w:rsidP="003F6B1D">
            <w:pPr>
              <w:jc w:val="right"/>
              <w:rPr>
                <w:b/>
                <w:bCs/>
                <w:color w:val="000000"/>
                <w:sz w:val="20"/>
                <w:szCs w:val="20"/>
              </w:rPr>
            </w:pPr>
            <w:r w:rsidRPr="000B4FCC">
              <w:rPr>
                <w:b/>
                <w:bCs/>
                <w:color w:val="000000"/>
                <w:sz w:val="20"/>
                <w:szCs w:val="20"/>
              </w:rPr>
              <w:t>Withheld</w:t>
            </w:r>
          </w:p>
        </w:tc>
        <w:tc>
          <w:tcPr>
            <w:tcW w:w="960" w:type="dxa"/>
            <w:noWrap/>
            <w:tcMar>
              <w:top w:w="0" w:type="dxa"/>
              <w:left w:w="108" w:type="dxa"/>
              <w:bottom w:w="0" w:type="dxa"/>
              <w:right w:w="108" w:type="dxa"/>
            </w:tcMar>
            <w:vAlign w:val="bottom"/>
            <w:hideMark/>
          </w:tcPr>
          <w:p w14:paraId="5E8F8D6D" w14:textId="77777777" w:rsidR="00D72695" w:rsidRPr="000B4FCC" w:rsidRDefault="00D72695" w:rsidP="003F6B1D">
            <w:pPr>
              <w:jc w:val="right"/>
              <w:rPr>
                <w:b/>
                <w:bCs/>
                <w:color w:val="000000"/>
                <w:sz w:val="20"/>
                <w:szCs w:val="20"/>
              </w:rPr>
            </w:pPr>
            <w:r w:rsidRPr="000B4FCC">
              <w:rPr>
                <w:b/>
                <w:bCs/>
                <w:color w:val="000000"/>
                <w:sz w:val="20"/>
                <w:szCs w:val="20"/>
              </w:rPr>
              <w:t>Total</w:t>
            </w:r>
          </w:p>
        </w:tc>
        <w:tc>
          <w:tcPr>
            <w:tcW w:w="960" w:type="dxa"/>
            <w:noWrap/>
            <w:tcMar>
              <w:top w:w="0" w:type="dxa"/>
              <w:left w:w="108" w:type="dxa"/>
              <w:bottom w:w="0" w:type="dxa"/>
              <w:right w:w="108" w:type="dxa"/>
            </w:tcMar>
            <w:vAlign w:val="bottom"/>
            <w:hideMark/>
          </w:tcPr>
          <w:p w14:paraId="44316644" w14:textId="77777777" w:rsidR="00D72695" w:rsidRPr="000B4FCC" w:rsidRDefault="00D72695" w:rsidP="003F6B1D">
            <w:pPr>
              <w:rPr>
                <w:b/>
                <w:bCs/>
                <w:color w:val="000000"/>
                <w:sz w:val="20"/>
                <w:szCs w:val="20"/>
              </w:rPr>
            </w:pPr>
            <w:r w:rsidRPr="000B4FCC">
              <w:rPr>
                <w:b/>
                <w:bCs/>
                <w:color w:val="000000"/>
                <w:sz w:val="20"/>
                <w:szCs w:val="20"/>
              </w:rPr>
              <w:t>Decision</w:t>
            </w:r>
          </w:p>
        </w:tc>
        <w:tc>
          <w:tcPr>
            <w:tcW w:w="960" w:type="dxa"/>
            <w:noWrap/>
            <w:tcMar>
              <w:top w:w="0" w:type="dxa"/>
              <w:left w:w="108" w:type="dxa"/>
              <w:bottom w:w="0" w:type="dxa"/>
              <w:right w:w="108" w:type="dxa"/>
            </w:tcMar>
            <w:vAlign w:val="bottom"/>
            <w:hideMark/>
          </w:tcPr>
          <w:p w14:paraId="362D061C" w14:textId="77777777" w:rsidR="00D72695" w:rsidRPr="000B4FCC" w:rsidRDefault="00D72695" w:rsidP="003F6B1D">
            <w:pPr>
              <w:rPr>
                <w:b/>
                <w:bCs/>
                <w:color w:val="000000"/>
                <w:sz w:val="20"/>
                <w:szCs w:val="20"/>
              </w:rPr>
            </w:pPr>
          </w:p>
        </w:tc>
        <w:tc>
          <w:tcPr>
            <w:tcW w:w="960" w:type="dxa"/>
            <w:noWrap/>
            <w:tcMar>
              <w:top w:w="0" w:type="dxa"/>
              <w:left w:w="108" w:type="dxa"/>
              <w:bottom w:w="0" w:type="dxa"/>
              <w:right w:w="108" w:type="dxa"/>
            </w:tcMar>
            <w:vAlign w:val="bottom"/>
            <w:hideMark/>
          </w:tcPr>
          <w:p w14:paraId="78503DFB" w14:textId="77777777" w:rsidR="00D72695" w:rsidRPr="000B4FCC" w:rsidRDefault="00D72695" w:rsidP="003F6B1D">
            <w:pPr>
              <w:rPr>
                <w:rFonts w:ascii="Times New Roman" w:eastAsia="Times New Roman" w:hAnsi="Times New Roman" w:cs="Times New Roman"/>
                <w:sz w:val="20"/>
                <w:szCs w:val="20"/>
              </w:rPr>
            </w:pPr>
          </w:p>
        </w:tc>
      </w:tr>
      <w:tr w:rsidR="00D72695" w:rsidRPr="000B4FCC" w14:paraId="0C9C86C3" w14:textId="77777777" w:rsidTr="003F6B1D">
        <w:trPr>
          <w:trHeight w:val="300"/>
        </w:trPr>
        <w:tc>
          <w:tcPr>
            <w:tcW w:w="4360" w:type="dxa"/>
            <w:noWrap/>
            <w:tcMar>
              <w:top w:w="0" w:type="dxa"/>
              <w:left w:w="108" w:type="dxa"/>
              <w:bottom w:w="0" w:type="dxa"/>
              <w:right w:w="108" w:type="dxa"/>
            </w:tcMar>
            <w:vAlign w:val="bottom"/>
            <w:hideMark/>
          </w:tcPr>
          <w:p w14:paraId="33773C83" w14:textId="77777777" w:rsidR="00D72695" w:rsidRPr="000B4FCC" w:rsidRDefault="00D72695" w:rsidP="003F6B1D">
            <w:pPr>
              <w:rPr>
                <w:rFonts w:ascii="Calibri" w:hAnsi="Calibri" w:cs="Calibri"/>
                <w:color w:val="000000"/>
                <w:sz w:val="20"/>
                <w:szCs w:val="20"/>
              </w:rPr>
            </w:pPr>
            <w:r w:rsidRPr="000B4FCC">
              <w:rPr>
                <w:color w:val="000000"/>
                <w:sz w:val="20"/>
                <w:szCs w:val="20"/>
              </w:rPr>
              <w:t>Approval of minutes of 2019 AGM</w:t>
            </w:r>
          </w:p>
        </w:tc>
        <w:tc>
          <w:tcPr>
            <w:tcW w:w="960" w:type="dxa"/>
            <w:noWrap/>
            <w:tcMar>
              <w:top w:w="0" w:type="dxa"/>
              <w:left w:w="108" w:type="dxa"/>
              <w:bottom w:w="0" w:type="dxa"/>
              <w:right w:w="108" w:type="dxa"/>
            </w:tcMar>
            <w:vAlign w:val="bottom"/>
            <w:hideMark/>
          </w:tcPr>
          <w:p w14:paraId="00593048" w14:textId="77777777" w:rsidR="00D72695" w:rsidRPr="000B4FCC" w:rsidRDefault="00D72695" w:rsidP="003F6B1D">
            <w:pPr>
              <w:jc w:val="right"/>
              <w:rPr>
                <w:color w:val="000000"/>
                <w:sz w:val="20"/>
                <w:szCs w:val="20"/>
              </w:rPr>
            </w:pPr>
            <w:r w:rsidRPr="000B4FCC">
              <w:rPr>
                <w:color w:val="000000"/>
                <w:sz w:val="20"/>
                <w:szCs w:val="20"/>
              </w:rPr>
              <w:t>108</w:t>
            </w:r>
          </w:p>
        </w:tc>
        <w:tc>
          <w:tcPr>
            <w:tcW w:w="960" w:type="dxa"/>
            <w:noWrap/>
            <w:tcMar>
              <w:top w:w="0" w:type="dxa"/>
              <w:left w:w="108" w:type="dxa"/>
              <w:bottom w:w="0" w:type="dxa"/>
              <w:right w:w="108" w:type="dxa"/>
            </w:tcMar>
            <w:vAlign w:val="bottom"/>
            <w:hideMark/>
          </w:tcPr>
          <w:p w14:paraId="789DE097" w14:textId="77777777" w:rsidR="00D72695" w:rsidRPr="000B4FCC" w:rsidRDefault="00D72695" w:rsidP="003F6B1D">
            <w:pPr>
              <w:jc w:val="right"/>
              <w:rPr>
                <w:color w:val="000000"/>
                <w:sz w:val="20"/>
                <w:szCs w:val="20"/>
              </w:rPr>
            </w:pPr>
            <w:r w:rsidRPr="000B4FCC">
              <w:rPr>
                <w:color w:val="000000"/>
                <w:sz w:val="20"/>
                <w:szCs w:val="20"/>
              </w:rPr>
              <w:t>0</w:t>
            </w:r>
          </w:p>
        </w:tc>
        <w:tc>
          <w:tcPr>
            <w:tcW w:w="960" w:type="dxa"/>
            <w:noWrap/>
            <w:tcMar>
              <w:top w:w="0" w:type="dxa"/>
              <w:left w:w="108" w:type="dxa"/>
              <w:bottom w:w="0" w:type="dxa"/>
              <w:right w:w="108" w:type="dxa"/>
            </w:tcMar>
            <w:vAlign w:val="bottom"/>
            <w:hideMark/>
          </w:tcPr>
          <w:p w14:paraId="5BBE0807" w14:textId="77777777" w:rsidR="00D72695" w:rsidRPr="000B4FCC" w:rsidRDefault="00D72695" w:rsidP="003F6B1D">
            <w:pPr>
              <w:jc w:val="right"/>
              <w:rPr>
                <w:color w:val="000000"/>
                <w:sz w:val="20"/>
                <w:szCs w:val="20"/>
              </w:rPr>
            </w:pPr>
            <w:r w:rsidRPr="000B4FCC">
              <w:rPr>
                <w:color w:val="000000"/>
                <w:sz w:val="20"/>
                <w:szCs w:val="20"/>
              </w:rPr>
              <w:t>3</w:t>
            </w:r>
          </w:p>
        </w:tc>
        <w:tc>
          <w:tcPr>
            <w:tcW w:w="960" w:type="dxa"/>
            <w:noWrap/>
            <w:tcMar>
              <w:top w:w="0" w:type="dxa"/>
              <w:left w:w="108" w:type="dxa"/>
              <w:bottom w:w="0" w:type="dxa"/>
              <w:right w:w="108" w:type="dxa"/>
            </w:tcMar>
            <w:vAlign w:val="bottom"/>
            <w:hideMark/>
          </w:tcPr>
          <w:p w14:paraId="2446D07B" w14:textId="77777777" w:rsidR="00D72695" w:rsidRPr="000B4FCC" w:rsidRDefault="00D72695" w:rsidP="003F6B1D">
            <w:pPr>
              <w:jc w:val="right"/>
              <w:rPr>
                <w:color w:val="000000"/>
                <w:sz w:val="20"/>
                <w:szCs w:val="20"/>
              </w:rPr>
            </w:pPr>
            <w:r w:rsidRPr="000B4FCC">
              <w:rPr>
                <w:color w:val="000000"/>
                <w:sz w:val="20"/>
                <w:szCs w:val="20"/>
              </w:rPr>
              <w:t>111</w:t>
            </w:r>
          </w:p>
        </w:tc>
        <w:tc>
          <w:tcPr>
            <w:tcW w:w="2880" w:type="dxa"/>
            <w:gridSpan w:val="3"/>
            <w:noWrap/>
            <w:tcMar>
              <w:top w:w="0" w:type="dxa"/>
              <w:left w:w="108" w:type="dxa"/>
              <w:bottom w:w="0" w:type="dxa"/>
              <w:right w:w="108" w:type="dxa"/>
            </w:tcMar>
            <w:vAlign w:val="bottom"/>
            <w:hideMark/>
          </w:tcPr>
          <w:p w14:paraId="4BB8D3A7" w14:textId="77777777" w:rsidR="00D72695" w:rsidRPr="000B4FCC" w:rsidRDefault="00D72695" w:rsidP="003F6B1D">
            <w:pPr>
              <w:rPr>
                <w:color w:val="000000"/>
                <w:sz w:val="20"/>
                <w:szCs w:val="20"/>
              </w:rPr>
            </w:pPr>
            <w:r w:rsidRPr="000B4FCC">
              <w:rPr>
                <w:color w:val="000000"/>
                <w:sz w:val="20"/>
                <w:szCs w:val="20"/>
              </w:rPr>
              <w:t>Resolution approved</w:t>
            </w:r>
          </w:p>
        </w:tc>
      </w:tr>
      <w:tr w:rsidR="00D72695" w:rsidRPr="000B4FCC" w14:paraId="5B9C7F35" w14:textId="77777777" w:rsidTr="003F6B1D">
        <w:trPr>
          <w:trHeight w:val="300"/>
        </w:trPr>
        <w:tc>
          <w:tcPr>
            <w:tcW w:w="4360" w:type="dxa"/>
            <w:noWrap/>
            <w:tcMar>
              <w:top w:w="0" w:type="dxa"/>
              <w:left w:w="108" w:type="dxa"/>
              <w:bottom w:w="0" w:type="dxa"/>
              <w:right w:w="108" w:type="dxa"/>
            </w:tcMar>
            <w:vAlign w:val="bottom"/>
            <w:hideMark/>
          </w:tcPr>
          <w:p w14:paraId="6BEA9930" w14:textId="77777777" w:rsidR="00D72695" w:rsidRPr="000B4FCC" w:rsidRDefault="00D72695" w:rsidP="003F6B1D">
            <w:pPr>
              <w:rPr>
                <w:color w:val="000000"/>
                <w:sz w:val="20"/>
                <w:szCs w:val="20"/>
              </w:rPr>
            </w:pPr>
            <w:r w:rsidRPr="000B4FCC">
              <w:rPr>
                <w:color w:val="000000"/>
                <w:sz w:val="20"/>
                <w:szCs w:val="20"/>
              </w:rPr>
              <w:t>Approval of minutes of 2019 EGM</w:t>
            </w:r>
          </w:p>
        </w:tc>
        <w:tc>
          <w:tcPr>
            <w:tcW w:w="960" w:type="dxa"/>
            <w:noWrap/>
            <w:tcMar>
              <w:top w:w="0" w:type="dxa"/>
              <w:left w:w="108" w:type="dxa"/>
              <w:bottom w:w="0" w:type="dxa"/>
              <w:right w:w="108" w:type="dxa"/>
            </w:tcMar>
            <w:vAlign w:val="bottom"/>
            <w:hideMark/>
          </w:tcPr>
          <w:p w14:paraId="2203C90A" w14:textId="77777777" w:rsidR="00D72695" w:rsidRPr="000B4FCC" w:rsidRDefault="00D72695" w:rsidP="003F6B1D">
            <w:pPr>
              <w:jc w:val="right"/>
              <w:rPr>
                <w:color w:val="000000"/>
                <w:sz w:val="20"/>
                <w:szCs w:val="20"/>
              </w:rPr>
            </w:pPr>
            <w:r w:rsidRPr="000B4FCC">
              <w:rPr>
                <w:color w:val="000000"/>
                <w:sz w:val="20"/>
                <w:szCs w:val="20"/>
              </w:rPr>
              <w:t>110</w:t>
            </w:r>
          </w:p>
        </w:tc>
        <w:tc>
          <w:tcPr>
            <w:tcW w:w="960" w:type="dxa"/>
            <w:noWrap/>
            <w:tcMar>
              <w:top w:w="0" w:type="dxa"/>
              <w:left w:w="108" w:type="dxa"/>
              <w:bottom w:w="0" w:type="dxa"/>
              <w:right w:w="108" w:type="dxa"/>
            </w:tcMar>
            <w:vAlign w:val="bottom"/>
            <w:hideMark/>
          </w:tcPr>
          <w:p w14:paraId="06444F31" w14:textId="77777777" w:rsidR="00D72695" w:rsidRPr="000B4FCC" w:rsidRDefault="00D72695" w:rsidP="003F6B1D">
            <w:pPr>
              <w:jc w:val="right"/>
              <w:rPr>
                <w:color w:val="000000"/>
                <w:sz w:val="20"/>
                <w:szCs w:val="20"/>
              </w:rPr>
            </w:pPr>
            <w:r w:rsidRPr="000B4FCC">
              <w:rPr>
                <w:color w:val="000000"/>
                <w:sz w:val="20"/>
                <w:szCs w:val="20"/>
              </w:rPr>
              <w:t>2</w:t>
            </w:r>
          </w:p>
        </w:tc>
        <w:tc>
          <w:tcPr>
            <w:tcW w:w="960" w:type="dxa"/>
            <w:noWrap/>
            <w:tcMar>
              <w:top w:w="0" w:type="dxa"/>
              <w:left w:w="108" w:type="dxa"/>
              <w:bottom w:w="0" w:type="dxa"/>
              <w:right w:w="108" w:type="dxa"/>
            </w:tcMar>
            <w:vAlign w:val="bottom"/>
            <w:hideMark/>
          </w:tcPr>
          <w:p w14:paraId="059EB404" w14:textId="77777777" w:rsidR="00D72695" w:rsidRPr="000B4FCC" w:rsidRDefault="00D72695" w:rsidP="003F6B1D">
            <w:pPr>
              <w:jc w:val="right"/>
              <w:rPr>
                <w:color w:val="000000"/>
                <w:sz w:val="20"/>
                <w:szCs w:val="20"/>
              </w:rPr>
            </w:pPr>
            <w:r w:rsidRPr="000B4FCC">
              <w:rPr>
                <w:color w:val="000000"/>
                <w:sz w:val="20"/>
                <w:szCs w:val="20"/>
              </w:rPr>
              <w:t>6</w:t>
            </w:r>
          </w:p>
        </w:tc>
        <w:tc>
          <w:tcPr>
            <w:tcW w:w="960" w:type="dxa"/>
            <w:noWrap/>
            <w:tcMar>
              <w:top w:w="0" w:type="dxa"/>
              <w:left w:w="108" w:type="dxa"/>
              <w:bottom w:w="0" w:type="dxa"/>
              <w:right w:w="108" w:type="dxa"/>
            </w:tcMar>
            <w:vAlign w:val="bottom"/>
            <w:hideMark/>
          </w:tcPr>
          <w:p w14:paraId="346CAD2F" w14:textId="77777777" w:rsidR="00D72695" w:rsidRPr="000B4FCC" w:rsidRDefault="00D72695" w:rsidP="003F6B1D">
            <w:pPr>
              <w:jc w:val="right"/>
              <w:rPr>
                <w:color w:val="000000"/>
                <w:sz w:val="20"/>
                <w:szCs w:val="20"/>
              </w:rPr>
            </w:pPr>
            <w:r w:rsidRPr="000B4FCC">
              <w:rPr>
                <w:color w:val="000000"/>
                <w:sz w:val="20"/>
                <w:szCs w:val="20"/>
              </w:rPr>
              <w:t>118</w:t>
            </w:r>
          </w:p>
        </w:tc>
        <w:tc>
          <w:tcPr>
            <w:tcW w:w="2880" w:type="dxa"/>
            <w:gridSpan w:val="3"/>
            <w:noWrap/>
            <w:tcMar>
              <w:top w:w="0" w:type="dxa"/>
              <w:left w:w="108" w:type="dxa"/>
              <w:bottom w:w="0" w:type="dxa"/>
              <w:right w:w="108" w:type="dxa"/>
            </w:tcMar>
            <w:vAlign w:val="bottom"/>
            <w:hideMark/>
          </w:tcPr>
          <w:p w14:paraId="483CB299" w14:textId="77777777" w:rsidR="00D72695" w:rsidRPr="000B4FCC" w:rsidRDefault="00D72695" w:rsidP="003F6B1D">
            <w:pPr>
              <w:rPr>
                <w:color w:val="000000"/>
                <w:sz w:val="20"/>
                <w:szCs w:val="20"/>
              </w:rPr>
            </w:pPr>
            <w:r w:rsidRPr="000B4FCC">
              <w:rPr>
                <w:color w:val="000000"/>
                <w:sz w:val="20"/>
                <w:szCs w:val="20"/>
              </w:rPr>
              <w:t>Resolution approved</w:t>
            </w:r>
          </w:p>
        </w:tc>
      </w:tr>
      <w:tr w:rsidR="00D72695" w:rsidRPr="000B4FCC" w14:paraId="1A0A191E" w14:textId="77777777" w:rsidTr="003F6B1D">
        <w:trPr>
          <w:trHeight w:val="300"/>
        </w:trPr>
        <w:tc>
          <w:tcPr>
            <w:tcW w:w="4360" w:type="dxa"/>
            <w:noWrap/>
            <w:tcMar>
              <w:top w:w="0" w:type="dxa"/>
              <w:left w:w="108" w:type="dxa"/>
              <w:bottom w:w="0" w:type="dxa"/>
              <w:right w:w="108" w:type="dxa"/>
            </w:tcMar>
            <w:vAlign w:val="bottom"/>
            <w:hideMark/>
          </w:tcPr>
          <w:p w14:paraId="1DC8F61D" w14:textId="77777777" w:rsidR="00D72695" w:rsidRPr="000B4FCC" w:rsidRDefault="00D72695" w:rsidP="003F6B1D">
            <w:pPr>
              <w:rPr>
                <w:color w:val="000000"/>
                <w:sz w:val="20"/>
                <w:szCs w:val="20"/>
              </w:rPr>
            </w:pPr>
            <w:r w:rsidRPr="000B4FCC">
              <w:rPr>
                <w:color w:val="000000"/>
                <w:sz w:val="20"/>
                <w:szCs w:val="20"/>
              </w:rPr>
              <w:t>Receive 2020 Trustees Report and Accounts</w:t>
            </w:r>
          </w:p>
        </w:tc>
        <w:tc>
          <w:tcPr>
            <w:tcW w:w="960" w:type="dxa"/>
            <w:noWrap/>
            <w:tcMar>
              <w:top w:w="0" w:type="dxa"/>
              <w:left w:w="108" w:type="dxa"/>
              <w:bottom w:w="0" w:type="dxa"/>
              <w:right w:w="108" w:type="dxa"/>
            </w:tcMar>
            <w:vAlign w:val="bottom"/>
            <w:hideMark/>
          </w:tcPr>
          <w:p w14:paraId="4196728E" w14:textId="77777777" w:rsidR="00D72695" w:rsidRPr="000B4FCC" w:rsidRDefault="00D72695" w:rsidP="003F6B1D">
            <w:pPr>
              <w:jc w:val="right"/>
              <w:rPr>
                <w:color w:val="000000"/>
                <w:sz w:val="20"/>
                <w:szCs w:val="20"/>
              </w:rPr>
            </w:pPr>
            <w:r w:rsidRPr="000B4FCC">
              <w:rPr>
                <w:color w:val="000000"/>
                <w:sz w:val="20"/>
                <w:szCs w:val="20"/>
              </w:rPr>
              <w:t>119</w:t>
            </w:r>
          </w:p>
        </w:tc>
        <w:tc>
          <w:tcPr>
            <w:tcW w:w="960" w:type="dxa"/>
            <w:noWrap/>
            <w:tcMar>
              <w:top w:w="0" w:type="dxa"/>
              <w:left w:w="108" w:type="dxa"/>
              <w:bottom w:w="0" w:type="dxa"/>
              <w:right w:w="108" w:type="dxa"/>
            </w:tcMar>
            <w:vAlign w:val="bottom"/>
            <w:hideMark/>
          </w:tcPr>
          <w:p w14:paraId="43B57805" w14:textId="77777777" w:rsidR="00D72695" w:rsidRPr="000B4FCC" w:rsidRDefault="00D72695" w:rsidP="003F6B1D">
            <w:pPr>
              <w:jc w:val="right"/>
              <w:rPr>
                <w:color w:val="000000"/>
                <w:sz w:val="20"/>
                <w:szCs w:val="20"/>
              </w:rPr>
            </w:pPr>
            <w:r w:rsidRPr="000B4FCC">
              <w:rPr>
                <w:color w:val="000000"/>
                <w:sz w:val="20"/>
                <w:szCs w:val="20"/>
              </w:rPr>
              <w:t>0</w:t>
            </w:r>
          </w:p>
        </w:tc>
        <w:tc>
          <w:tcPr>
            <w:tcW w:w="960" w:type="dxa"/>
            <w:noWrap/>
            <w:tcMar>
              <w:top w:w="0" w:type="dxa"/>
              <w:left w:w="108" w:type="dxa"/>
              <w:bottom w:w="0" w:type="dxa"/>
              <w:right w:w="108" w:type="dxa"/>
            </w:tcMar>
            <w:vAlign w:val="bottom"/>
            <w:hideMark/>
          </w:tcPr>
          <w:p w14:paraId="23CA27C4" w14:textId="77777777" w:rsidR="00D72695" w:rsidRPr="000B4FCC" w:rsidRDefault="00D72695" w:rsidP="003F6B1D">
            <w:pPr>
              <w:jc w:val="right"/>
              <w:rPr>
                <w:color w:val="000000"/>
                <w:sz w:val="20"/>
                <w:szCs w:val="20"/>
              </w:rPr>
            </w:pPr>
            <w:r w:rsidRPr="000B4FCC">
              <w:rPr>
                <w:color w:val="000000"/>
                <w:sz w:val="20"/>
                <w:szCs w:val="20"/>
              </w:rPr>
              <w:t>2</w:t>
            </w:r>
          </w:p>
        </w:tc>
        <w:tc>
          <w:tcPr>
            <w:tcW w:w="960" w:type="dxa"/>
            <w:noWrap/>
            <w:tcMar>
              <w:top w:w="0" w:type="dxa"/>
              <w:left w:w="108" w:type="dxa"/>
              <w:bottom w:w="0" w:type="dxa"/>
              <w:right w:w="108" w:type="dxa"/>
            </w:tcMar>
            <w:vAlign w:val="bottom"/>
            <w:hideMark/>
          </w:tcPr>
          <w:p w14:paraId="1D645CC7" w14:textId="77777777" w:rsidR="00D72695" w:rsidRPr="000B4FCC" w:rsidRDefault="00D72695" w:rsidP="003F6B1D">
            <w:pPr>
              <w:jc w:val="right"/>
              <w:rPr>
                <w:color w:val="000000"/>
                <w:sz w:val="20"/>
                <w:szCs w:val="20"/>
              </w:rPr>
            </w:pPr>
            <w:r w:rsidRPr="000B4FCC">
              <w:rPr>
                <w:color w:val="000000"/>
                <w:sz w:val="20"/>
                <w:szCs w:val="20"/>
              </w:rPr>
              <w:t>121</w:t>
            </w:r>
          </w:p>
        </w:tc>
        <w:tc>
          <w:tcPr>
            <w:tcW w:w="2880" w:type="dxa"/>
            <w:gridSpan w:val="3"/>
            <w:noWrap/>
            <w:tcMar>
              <w:top w:w="0" w:type="dxa"/>
              <w:left w:w="108" w:type="dxa"/>
              <w:bottom w:w="0" w:type="dxa"/>
              <w:right w:w="108" w:type="dxa"/>
            </w:tcMar>
            <w:vAlign w:val="bottom"/>
            <w:hideMark/>
          </w:tcPr>
          <w:p w14:paraId="2E47F837" w14:textId="77777777" w:rsidR="00D72695" w:rsidRPr="000B4FCC" w:rsidRDefault="00D72695" w:rsidP="003F6B1D">
            <w:pPr>
              <w:rPr>
                <w:color w:val="000000"/>
                <w:sz w:val="20"/>
                <w:szCs w:val="20"/>
              </w:rPr>
            </w:pPr>
            <w:r w:rsidRPr="000B4FCC">
              <w:rPr>
                <w:color w:val="000000"/>
                <w:sz w:val="20"/>
                <w:szCs w:val="20"/>
              </w:rPr>
              <w:t>Resolution approved</w:t>
            </w:r>
          </w:p>
        </w:tc>
      </w:tr>
      <w:tr w:rsidR="00D72695" w:rsidRPr="000B4FCC" w14:paraId="54FA3BEE" w14:textId="77777777" w:rsidTr="003F6B1D">
        <w:trPr>
          <w:trHeight w:val="300"/>
        </w:trPr>
        <w:tc>
          <w:tcPr>
            <w:tcW w:w="4360" w:type="dxa"/>
            <w:noWrap/>
            <w:tcMar>
              <w:top w:w="0" w:type="dxa"/>
              <w:left w:w="108" w:type="dxa"/>
              <w:bottom w:w="0" w:type="dxa"/>
              <w:right w:w="108" w:type="dxa"/>
            </w:tcMar>
            <w:vAlign w:val="bottom"/>
            <w:hideMark/>
          </w:tcPr>
          <w:p w14:paraId="10726426" w14:textId="3A10AC50" w:rsidR="00D72695" w:rsidRPr="000B4FCC" w:rsidRDefault="00D72695" w:rsidP="003F6B1D">
            <w:pPr>
              <w:rPr>
                <w:color w:val="000000"/>
                <w:sz w:val="20"/>
                <w:szCs w:val="20"/>
              </w:rPr>
            </w:pPr>
            <w:r w:rsidRPr="000B4FCC">
              <w:rPr>
                <w:color w:val="000000"/>
                <w:sz w:val="20"/>
                <w:szCs w:val="20"/>
              </w:rPr>
              <w:t>App</w:t>
            </w:r>
            <w:r w:rsidR="000B4FCC">
              <w:rPr>
                <w:color w:val="000000"/>
                <w:sz w:val="20"/>
                <w:szCs w:val="20"/>
              </w:rPr>
              <w:t>o</w:t>
            </w:r>
            <w:r w:rsidRPr="000B4FCC">
              <w:rPr>
                <w:color w:val="000000"/>
                <w:sz w:val="20"/>
                <w:szCs w:val="20"/>
              </w:rPr>
              <w:t>intment of Menzies as auditors</w:t>
            </w:r>
          </w:p>
        </w:tc>
        <w:tc>
          <w:tcPr>
            <w:tcW w:w="960" w:type="dxa"/>
            <w:noWrap/>
            <w:tcMar>
              <w:top w:w="0" w:type="dxa"/>
              <w:left w:w="108" w:type="dxa"/>
              <w:bottom w:w="0" w:type="dxa"/>
              <w:right w:w="108" w:type="dxa"/>
            </w:tcMar>
            <w:vAlign w:val="bottom"/>
            <w:hideMark/>
          </w:tcPr>
          <w:p w14:paraId="0F78CDE4" w14:textId="77777777" w:rsidR="00D72695" w:rsidRPr="000B4FCC" w:rsidRDefault="00D72695" w:rsidP="003F6B1D">
            <w:pPr>
              <w:jc w:val="right"/>
              <w:rPr>
                <w:color w:val="000000"/>
                <w:sz w:val="20"/>
                <w:szCs w:val="20"/>
              </w:rPr>
            </w:pPr>
            <w:r w:rsidRPr="000B4FCC">
              <w:rPr>
                <w:color w:val="000000"/>
                <w:sz w:val="20"/>
                <w:szCs w:val="20"/>
              </w:rPr>
              <w:t>114</w:t>
            </w:r>
          </w:p>
        </w:tc>
        <w:tc>
          <w:tcPr>
            <w:tcW w:w="960" w:type="dxa"/>
            <w:noWrap/>
            <w:tcMar>
              <w:top w:w="0" w:type="dxa"/>
              <w:left w:w="108" w:type="dxa"/>
              <w:bottom w:w="0" w:type="dxa"/>
              <w:right w:w="108" w:type="dxa"/>
            </w:tcMar>
            <w:vAlign w:val="bottom"/>
            <w:hideMark/>
          </w:tcPr>
          <w:p w14:paraId="287F4D44" w14:textId="77777777" w:rsidR="00D72695" w:rsidRPr="000B4FCC" w:rsidRDefault="00D72695" w:rsidP="003F6B1D">
            <w:pPr>
              <w:jc w:val="right"/>
              <w:rPr>
                <w:color w:val="000000"/>
                <w:sz w:val="20"/>
                <w:szCs w:val="20"/>
              </w:rPr>
            </w:pPr>
            <w:r w:rsidRPr="000B4FCC">
              <w:rPr>
                <w:color w:val="000000"/>
                <w:sz w:val="20"/>
                <w:szCs w:val="20"/>
              </w:rPr>
              <w:t>0</w:t>
            </w:r>
          </w:p>
        </w:tc>
        <w:tc>
          <w:tcPr>
            <w:tcW w:w="960" w:type="dxa"/>
            <w:noWrap/>
            <w:tcMar>
              <w:top w:w="0" w:type="dxa"/>
              <w:left w:w="108" w:type="dxa"/>
              <w:bottom w:w="0" w:type="dxa"/>
              <w:right w:w="108" w:type="dxa"/>
            </w:tcMar>
            <w:vAlign w:val="bottom"/>
            <w:hideMark/>
          </w:tcPr>
          <w:p w14:paraId="36C3EE57" w14:textId="77777777" w:rsidR="00D72695" w:rsidRPr="000B4FCC" w:rsidRDefault="00D72695" w:rsidP="003F6B1D">
            <w:pPr>
              <w:jc w:val="right"/>
              <w:rPr>
                <w:color w:val="000000"/>
                <w:sz w:val="20"/>
                <w:szCs w:val="20"/>
              </w:rPr>
            </w:pPr>
            <w:r w:rsidRPr="000B4FCC">
              <w:rPr>
                <w:color w:val="000000"/>
                <w:sz w:val="20"/>
                <w:szCs w:val="20"/>
              </w:rPr>
              <w:t>1</w:t>
            </w:r>
          </w:p>
        </w:tc>
        <w:tc>
          <w:tcPr>
            <w:tcW w:w="960" w:type="dxa"/>
            <w:noWrap/>
            <w:tcMar>
              <w:top w:w="0" w:type="dxa"/>
              <w:left w:w="108" w:type="dxa"/>
              <w:bottom w:w="0" w:type="dxa"/>
              <w:right w:w="108" w:type="dxa"/>
            </w:tcMar>
            <w:vAlign w:val="bottom"/>
            <w:hideMark/>
          </w:tcPr>
          <w:p w14:paraId="159B41C5" w14:textId="77777777" w:rsidR="00D72695" w:rsidRPr="000B4FCC" w:rsidRDefault="00D72695" w:rsidP="003F6B1D">
            <w:pPr>
              <w:jc w:val="right"/>
              <w:rPr>
                <w:color w:val="000000"/>
                <w:sz w:val="20"/>
                <w:szCs w:val="20"/>
              </w:rPr>
            </w:pPr>
            <w:r w:rsidRPr="000B4FCC">
              <w:rPr>
                <w:color w:val="000000"/>
                <w:sz w:val="20"/>
                <w:szCs w:val="20"/>
              </w:rPr>
              <w:t>115</w:t>
            </w:r>
          </w:p>
        </w:tc>
        <w:tc>
          <w:tcPr>
            <w:tcW w:w="2880" w:type="dxa"/>
            <w:gridSpan w:val="3"/>
            <w:noWrap/>
            <w:tcMar>
              <w:top w:w="0" w:type="dxa"/>
              <w:left w:w="108" w:type="dxa"/>
              <w:bottom w:w="0" w:type="dxa"/>
              <w:right w:w="108" w:type="dxa"/>
            </w:tcMar>
            <w:vAlign w:val="bottom"/>
            <w:hideMark/>
          </w:tcPr>
          <w:p w14:paraId="0036E4F5" w14:textId="77777777" w:rsidR="00D72695" w:rsidRPr="000B4FCC" w:rsidRDefault="00D72695" w:rsidP="003F6B1D">
            <w:pPr>
              <w:rPr>
                <w:color w:val="000000"/>
                <w:sz w:val="20"/>
                <w:szCs w:val="20"/>
              </w:rPr>
            </w:pPr>
            <w:r w:rsidRPr="000B4FCC">
              <w:rPr>
                <w:color w:val="000000"/>
                <w:sz w:val="20"/>
                <w:szCs w:val="20"/>
              </w:rPr>
              <w:t>Resolution approved</w:t>
            </w:r>
          </w:p>
        </w:tc>
      </w:tr>
      <w:tr w:rsidR="00D72695" w:rsidRPr="000B4FCC" w14:paraId="388167CF" w14:textId="77777777" w:rsidTr="003F6B1D">
        <w:trPr>
          <w:trHeight w:val="300"/>
        </w:trPr>
        <w:tc>
          <w:tcPr>
            <w:tcW w:w="4360" w:type="dxa"/>
            <w:noWrap/>
            <w:tcMar>
              <w:top w:w="0" w:type="dxa"/>
              <w:left w:w="108" w:type="dxa"/>
              <w:bottom w:w="0" w:type="dxa"/>
              <w:right w:w="108" w:type="dxa"/>
            </w:tcMar>
            <w:vAlign w:val="bottom"/>
            <w:hideMark/>
          </w:tcPr>
          <w:p w14:paraId="1EDA0AC2" w14:textId="77777777" w:rsidR="00D72695" w:rsidRPr="000B4FCC" w:rsidRDefault="00D72695" w:rsidP="003F6B1D">
            <w:pPr>
              <w:rPr>
                <w:color w:val="000000"/>
                <w:sz w:val="20"/>
                <w:szCs w:val="20"/>
              </w:rPr>
            </w:pPr>
          </w:p>
        </w:tc>
        <w:tc>
          <w:tcPr>
            <w:tcW w:w="960" w:type="dxa"/>
            <w:noWrap/>
            <w:tcMar>
              <w:top w:w="0" w:type="dxa"/>
              <w:left w:w="108" w:type="dxa"/>
              <w:bottom w:w="0" w:type="dxa"/>
              <w:right w:w="108" w:type="dxa"/>
            </w:tcMar>
            <w:vAlign w:val="bottom"/>
            <w:hideMark/>
          </w:tcPr>
          <w:p w14:paraId="2DDB688E"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5546CC47"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18179E94"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5D2B64FD"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64CE13DA"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50DC7925" w14:textId="77777777" w:rsidR="00D72695" w:rsidRPr="000B4FCC" w:rsidRDefault="00D72695" w:rsidP="003F6B1D">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3520704F" w14:textId="77777777" w:rsidR="00D72695" w:rsidRPr="000B4FCC" w:rsidRDefault="00D72695" w:rsidP="003F6B1D">
            <w:pPr>
              <w:rPr>
                <w:rFonts w:ascii="Times New Roman" w:eastAsia="Times New Roman" w:hAnsi="Times New Roman" w:cs="Times New Roman"/>
                <w:sz w:val="20"/>
                <w:szCs w:val="20"/>
              </w:rPr>
            </w:pPr>
          </w:p>
        </w:tc>
      </w:tr>
      <w:tr w:rsidR="00D72695" w:rsidRPr="000B4FCC" w14:paraId="4DC851F7" w14:textId="77777777" w:rsidTr="003F6B1D">
        <w:trPr>
          <w:trHeight w:val="300"/>
        </w:trPr>
        <w:tc>
          <w:tcPr>
            <w:tcW w:w="10120" w:type="dxa"/>
            <w:gridSpan w:val="7"/>
            <w:noWrap/>
            <w:tcMar>
              <w:top w:w="0" w:type="dxa"/>
              <w:left w:w="108" w:type="dxa"/>
              <w:bottom w:w="0" w:type="dxa"/>
              <w:right w:w="108" w:type="dxa"/>
            </w:tcMar>
            <w:vAlign w:val="bottom"/>
            <w:hideMark/>
          </w:tcPr>
          <w:p w14:paraId="57783342" w14:textId="77777777" w:rsidR="00D72695" w:rsidRPr="000B4FCC" w:rsidRDefault="00D72695" w:rsidP="003F6B1D">
            <w:pPr>
              <w:rPr>
                <w:rFonts w:ascii="Calibri" w:hAnsi="Calibri" w:cs="Calibri"/>
                <w:color w:val="000000"/>
                <w:sz w:val="20"/>
                <w:szCs w:val="20"/>
              </w:rPr>
            </w:pPr>
            <w:r w:rsidRPr="000B4FCC">
              <w:rPr>
                <w:color w:val="000000"/>
                <w:sz w:val="20"/>
                <w:szCs w:val="20"/>
              </w:rPr>
              <w:t>Note: Results include 72 Proxy Votes for each resolution except for 2019 EGM which includes 73 proxy votes.</w:t>
            </w:r>
          </w:p>
        </w:tc>
        <w:tc>
          <w:tcPr>
            <w:tcW w:w="960" w:type="dxa"/>
            <w:noWrap/>
            <w:tcMar>
              <w:top w:w="0" w:type="dxa"/>
              <w:left w:w="108" w:type="dxa"/>
              <w:bottom w:w="0" w:type="dxa"/>
              <w:right w:w="108" w:type="dxa"/>
            </w:tcMar>
            <w:vAlign w:val="bottom"/>
            <w:hideMark/>
          </w:tcPr>
          <w:p w14:paraId="39535A9F" w14:textId="77777777" w:rsidR="00D72695" w:rsidRPr="000B4FCC" w:rsidRDefault="00D72695" w:rsidP="003F6B1D">
            <w:pPr>
              <w:rPr>
                <w:color w:val="000000"/>
                <w:sz w:val="20"/>
                <w:szCs w:val="20"/>
              </w:rPr>
            </w:pPr>
          </w:p>
        </w:tc>
      </w:tr>
    </w:tbl>
    <w:p w14:paraId="18FD4028" w14:textId="77777777" w:rsidR="00D72695" w:rsidRDefault="00D72695" w:rsidP="00D72695">
      <w:pPr>
        <w:rPr>
          <w:rFonts w:ascii="Calibri" w:hAnsi="Calibri" w:cs="Calibri"/>
          <w:color w:val="1F497D"/>
        </w:rPr>
      </w:pPr>
    </w:p>
    <w:p w14:paraId="469306B0" w14:textId="77777777" w:rsidR="00D72695" w:rsidRDefault="00D72695" w:rsidP="00D72695">
      <w:pPr>
        <w:rPr>
          <w:b/>
        </w:rPr>
      </w:pPr>
    </w:p>
    <w:p w14:paraId="6AAFC5F0" w14:textId="29EA7848" w:rsidR="001A1BBC" w:rsidRDefault="001A1BBC" w:rsidP="00AE0818"/>
    <w:sectPr w:rsidR="001A1BB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EE49" w14:textId="77777777" w:rsidR="002B2C9B" w:rsidRDefault="002B2C9B" w:rsidP="00E17A5D">
      <w:r>
        <w:separator/>
      </w:r>
    </w:p>
  </w:endnote>
  <w:endnote w:type="continuationSeparator" w:id="0">
    <w:p w14:paraId="054B1E59" w14:textId="77777777" w:rsidR="002B2C9B" w:rsidRDefault="002B2C9B" w:rsidP="00E1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B24A" w14:textId="77777777" w:rsidR="00AB6D5B" w:rsidRDefault="00AB6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61534"/>
      <w:docPartObj>
        <w:docPartGallery w:val="Page Numbers (Bottom of Page)"/>
        <w:docPartUnique/>
      </w:docPartObj>
    </w:sdtPr>
    <w:sdtEndPr>
      <w:rPr>
        <w:noProof/>
      </w:rPr>
    </w:sdtEndPr>
    <w:sdtContent>
      <w:p w14:paraId="5FBF14DF" w14:textId="77777777" w:rsidR="009B3099" w:rsidRDefault="009B3099">
        <w:pPr>
          <w:pStyle w:val="Footer"/>
          <w:jc w:val="center"/>
        </w:pPr>
        <w:r>
          <w:fldChar w:fldCharType="begin"/>
        </w:r>
        <w:r>
          <w:instrText xml:space="preserve"> PAGE   \* MERGEFORMAT </w:instrText>
        </w:r>
        <w:r>
          <w:fldChar w:fldCharType="separate"/>
        </w:r>
        <w:r w:rsidR="001C0690">
          <w:rPr>
            <w:noProof/>
          </w:rPr>
          <w:t>6</w:t>
        </w:r>
        <w:r>
          <w:rPr>
            <w:noProof/>
          </w:rPr>
          <w:fldChar w:fldCharType="end"/>
        </w:r>
      </w:p>
    </w:sdtContent>
  </w:sdt>
  <w:p w14:paraId="4090A373" w14:textId="77777777" w:rsidR="009B3099" w:rsidRDefault="009B3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4784" w14:textId="77777777" w:rsidR="00AB6D5B" w:rsidRDefault="00AB6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E695" w14:textId="77777777" w:rsidR="002B2C9B" w:rsidRDefault="002B2C9B" w:rsidP="00E17A5D">
      <w:r>
        <w:separator/>
      </w:r>
    </w:p>
  </w:footnote>
  <w:footnote w:type="continuationSeparator" w:id="0">
    <w:p w14:paraId="2D4A3677" w14:textId="77777777" w:rsidR="002B2C9B" w:rsidRDefault="002B2C9B" w:rsidP="00E1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ACEF" w14:textId="77777777" w:rsidR="00AB6D5B" w:rsidRDefault="00AB6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94B7" w14:textId="5D49BCD8" w:rsidR="00AB6D5B" w:rsidRDefault="00AB6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26C7" w14:textId="77777777" w:rsidR="00AB6D5B" w:rsidRDefault="00AB6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F73"/>
    <w:multiLevelType w:val="hybridMultilevel"/>
    <w:tmpl w:val="5CA83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E335B"/>
    <w:multiLevelType w:val="hybridMultilevel"/>
    <w:tmpl w:val="BB3C8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C47BF6"/>
    <w:multiLevelType w:val="hybridMultilevel"/>
    <w:tmpl w:val="553430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35F09"/>
    <w:multiLevelType w:val="hybridMultilevel"/>
    <w:tmpl w:val="7DB88B4C"/>
    <w:lvl w:ilvl="0" w:tplc="C9127276">
      <w:start w:val="1"/>
      <w:numFmt w:val="upperLetter"/>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4" w15:restartNumberingAfterBreak="0">
    <w:nsid w:val="03521D01"/>
    <w:multiLevelType w:val="hybridMultilevel"/>
    <w:tmpl w:val="34249D8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65B30"/>
    <w:multiLevelType w:val="hybridMultilevel"/>
    <w:tmpl w:val="110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951DD"/>
    <w:multiLevelType w:val="hybridMultilevel"/>
    <w:tmpl w:val="AA2CC918"/>
    <w:lvl w:ilvl="0" w:tplc="84C0502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F0632"/>
    <w:multiLevelType w:val="hybridMultilevel"/>
    <w:tmpl w:val="95D6C1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F093E"/>
    <w:multiLevelType w:val="hybridMultilevel"/>
    <w:tmpl w:val="4E42CA18"/>
    <w:lvl w:ilvl="0" w:tplc="2704427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E14DC"/>
    <w:multiLevelType w:val="hybridMultilevel"/>
    <w:tmpl w:val="C9E4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9104D"/>
    <w:multiLevelType w:val="hybridMultilevel"/>
    <w:tmpl w:val="25D0E9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C6B0E"/>
    <w:multiLevelType w:val="hybridMultilevel"/>
    <w:tmpl w:val="2E92F984"/>
    <w:lvl w:ilvl="0" w:tplc="58F65B76">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D390A"/>
    <w:multiLevelType w:val="hybridMultilevel"/>
    <w:tmpl w:val="EEA61F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564B1"/>
    <w:multiLevelType w:val="hybridMultilevel"/>
    <w:tmpl w:val="0D18AC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AD5EDD"/>
    <w:multiLevelType w:val="hybridMultilevel"/>
    <w:tmpl w:val="20666228"/>
    <w:lvl w:ilvl="0" w:tplc="838278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A2692"/>
    <w:multiLevelType w:val="hybridMultilevel"/>
    <w:tmpl w:val="FE3615A6"/>
    <w:lvl w:ilvl="0" w:tplc="7442AC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54FD3"/>
    <w:multiLevelType w:val="hybridMultilevel"/>
    <w:tmpl w:val="1D7A4736"/>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306D00C9"/>
    <w:multiLevelType w:val="hybridMultilevel"/>
    <w:tmpl w:val="A0BC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610AC"/>
    <w:multiLevelType w:val="hybridMultilevel"/>
    <w:tmpl w:val="F080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674992"/>
    <w:multiLevelType w:val="hybridMultilevel"/>
    <w:tmpl w:val="E9C26190"/>
    <w:lvl w:ilvl="0" w:tplc="7BEC71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15:restartNumberingAfterBreak="0">
    <w:nsid w:val="352D41AF"/>
    <w:multiLevelType w:val="hybridMultilevel"/>
    <w:tmpl w:val="F314D76C"/>
    <w:lvl w:ilvl="0" w:tplc="7C9AB91C">
      <w:start w:val="20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2D1878"/>
    <w:multiLevelType w:val="hybridMultilevel"/>
    <w:tmpl w:val="E57083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071A3"/>
    <w:multiLevelType w:val="hybridMultilevel"/>
    <w:tmpl w:val="C53C4850"/>
    <w:lvl w:ilvl="0" w:tplc="276EEFD8">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937011"/>
    <w:multiLevelType w:val="hybridMultilevel"/>
    <w:tmpl w:val="3B22E9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84E78"/>
    <w:multiLevelType w:val="hybridMultilevel"/>
    <w:tmpl w:val="27461AC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C63934"/>
    <w:multiLevelType w:val="hybridMultilevel"/>
    <w:tmpl w:val="A09E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B0F55"/>
    <w:multiLevelType w:val="hybridMultilevel"/>
    <w:tmpl w:val="D7BE52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6B2989"/>
    <w:multiLevelType w:val="hybridMultilevel"/>
    <w:tmpl w:val="9822C8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3E300C0"/>
    <w:multiLevelType w:val="hybridMultilevel"/>
    <w:tmpl w:val="9A3A53DE"/>
    <w:lvl w:ilvl="0" w:tplc="D278EF7A">
      <w:numFmt w:val="bullet"/>
      <w:lvlText w:val="-"/>
      <w:lvlJc w:val="left"/>
      <w:pPr>
        <w:ind w:left="790" w:hanging="43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8108F"/>
    <w:multiLevelType w:val="hybridMultilevel"/>
    <w:tmpl w:val="D68E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822D7"/>
    <w:multiLevelType w:val="hybridMultilevel"/>
    <w:tmpl w:val="751AC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DE4ADF"/>
    <w:multiLevelType w:val="hybridMultilevel"/>
    <w:tmpl w:val="1B7CD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C0791"/>
    <w:multiLevelType w:val="hybridMultilevel"/>
    <w:tmpl w:val="6E94AFD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600" w:hanging="440"/>
      </w:pPr>
      <w:rPr>
        <w:rFonts w:ascii="Wingdings" w:hAnsi="Wingdings" w:hint="default"/>
        <w:i/>
      </w:rPr>
    </w:lvl>
    <w:lvl w:ilvl="3" w:tplc="08090005">
      <w:start w:val="1"/>
      <w:numFmt w:val="bullet"/>
      <w:lvlText w:val=""/>
      <w:lvlJc w:val="left"/>
      <w:pPr>
        <w:ind w:left="3240" w:hanging="360"/>
      </w:pPr>
      <w:rPr>
        <w:rFonts w:ascii="Wingdings" w:hAnsi="Wingdings" w:hint="default"/>
      </w:rPr>
    </w:lvl>
    <w:lvl w:ilvl="4" w:tplc="08090003">
      <w:start w:val="1"/>
      <w:numFmt w:val="bullet"/>
      <w:lvlText w:val="o"/>
      <w:lvlJc w:val="left"/>
      <w:pPr>
        <w:ind w:left="3960" w:hanging="360"/>
      </w:pPr>
      <w:rPr>
        <w:rFonts w:ascii="Courier New" w:hAnsi="Courier New" w:cs="Courier New" w:hint="default"/>
      </w:rPr>
    </w:lvl>
    <w:lvl w:ilvl="5" w:tplc="799AA32C">
      <w:numFmt w:val="bullet"/>
      <w:lvlText w:val="-"/>
      <w:lvlJc w:val="left"/>
      <w:pPr>
        <w:ind w:left="4730" w:hanging="410"/>
      </w:pPr>
      <w:rPr>
        <w:rFonts w:ascii="Calibri" w:eastAsiaTheme="minorHAnsi" w:hAnsi="Calibri" w:cs="Calibri"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9B4B5B"/>
    <w:multiLevelType w:val="hybridMultilevel"/>
    <w:tmpl w:val="347E4D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E67EB"/>
    <w:multiLevelType w:val="hybridMultilevel"/>
    <w:tmpl w:val="D19AA6B4"/>
    <w:lvl w:ilvl="0" w:tplc="FD8C918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80440"/>
    <w:multiLevelType w:val="hybridMultilevel"/>
    <w:tmpl w:val="7390BE84"/>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6D7613AA"/>
    <w:multiLevelType w:val="hybridMultilevel"/>
    <w:tmpl w:val="DC3EF9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6F1E234E"/>
    <w:multiLevelType w:val="hybridMultilevel"/>
    <w:tmpl w:val="5A2A7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FC763E"/>
    <w:multiLevelType w:val="hybridMultilevel"/>
    <w:tmpl w:val="1A9AC702"/>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0A11F67"/>
    <w:multiLevelType w:val="multilevel"/>
    <w:tmpl w:val="EC8EA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9337412"/>
    <w:multiLevelType w:val="hybridMultilevel"/>
    <w:tmpl w:val="820CA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72881">
    <w:abstractNumId w:val="18"/>
  </w:num>
  <w:num w:numId="2" w16cid:durableId="122962753">
    <w:abstractNumId w:val="8"/>
  </w:num>
  <w:num w:numId="3" w16cid:durableId="1286961317">
    <w:abstractNumId w:val="6"/>
  </w:num>
  <w:num w:numId="4" w16cid:durableId="1906405700">
    <w:abstractNumId w:val="0"/>
  </w:num>
  <w:num w:numId="5" w16cid:durableId="949094706">
    <w:abstractNumId w:val="11"/>
  </w:num>
  <w:num w:numId="6" w16cid:durableId="2096127256">
    <w:abstractNumId w:val="14"/>
  </w:num>
  <w:num w:numId="7" w16cid:durableId="181558847">
    <w:abstractNumId w:val="20"/>
  </w:num>
  <w:num w:numId="8" w16cid:durableId="166019944">
    <w:abstractNumId w:val="12"/>
  </w:num>
  <w:num w:numId="9" w16cid:durableId="1876459108">
    <w:abstractNumId w:val="2"/>
  </w:num>
  <w:num w:numId="10" w16cid:durableId="1561399782">
    <w:abstractNumId w:val="7"/>
  </w:num>
  <w:num w:numId="11" w16cid:durableId="17629482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149961">
    <w:abstractNumId w:val="22"/>
  </w:num>
  <w:num w:numId="13" w16cid:durableId="560751491">
    <w:abstractNumId w:val="13"/>
  </w:num>
  <w:num w:numId="14" w16cid:durableId="471483405">
    <w:abstractNumId w:val="30"/>
  </w:num>
  <w:num w:numId="15" w16cid:durableId="7603392">
    <w:abstractNumId w:val="37"/>
  </w:num>
  <w:num w:numId="16" w16cid:durableId="755516430">
    <w:abstractNumId w:val="1"/>
  </w:num>
  <w:num w:numId="17" w16cid:durableId="7511961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266128">
    <w:abstractNumId w:val="34"/>
  </w:num>
  <w:num w:numId="19" w16cid:durableId="1552113600">
    <w:abstractNumId w:val="29"/>
  </w:num>
  <w:num w:numId="20" w16cid:durableId="1641423981">
    <w:abstractNumId w:val="17"/>
  </w:num>
  <w:num w:numId="21" w16cid:durableId="1884705580">
    <w:abstractNumId w:val="40"/>
  </w:num>
  <w:num w:numId="22" w16cid:durableId="619918089">
    <w:abstractNumId w:val="15"/>
  </w:num>
  <w:num w:numId="23" w16cid:durableId="1675298395">
    <w:abstractNumId w:val="25"/>
  </w:num>
  <w:num w:numId="24" w16cid:durableId="634992736">
    <w:abstractNumId w:val="19"/>
  </w:num>
  <w:num w:numId="25" w16cid:durableId="790897583">
    <w:abstractNumId w:val="3"/>
  </w:num>
  <w:num w:numId="26" w16cid:durableId="1955869455">
    <w:abstractNumId w:val="32"/>
  </w:num>
  <w:num w:numId="27" w16cid:durableId="7983829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3283566">
    <w:abstractNumId w:val="10"/>
  </w:num>
  <w:num w:numId="29" w16cid:durableId="346712687">
    <w:abstractNumId w:val="4"/>
  </w:num>
  <w:num w:numId="30" w16cid:durableId="1048341161">
    <w:abstractNumId w:val="21"/>
  </w:num>
  <w:num w:numId="31" w16cid:durableId="1007514612">
    <w:abstractNumId w:val="33"/>
  </w:num>
  <w:num w:numId="32" w16cid:durableId="1511263600">
    <w:abstractNumId w:val="28"/>
  </w:num>
  <w:num w:numId="33" w16cid:durableId="1497459446">
    <w:abstractNumId w:val="38"/>
  </w:num>
  <w:num w:numId="34" w16cid:durableId="1519657040">
    <w:abstractNumId w:val="24"/>
  </w:num>
  <w:num w:numId="35" w16cid:durableId="1455169778">
    <w:abstractNumId w:val="26"/>
  </w:num>
  <w:num w:numId="36" w16cid:durableId="512501468">
    <w:abstractNumId w:val="5"/>
  </w:num>
  <w:num w:numId="37" w16cid:durableId="994144556">
    <w:abstractNumId w:val="9"/>
  </w:num>
  <w:num w:numId="38" w16cid:durableId="505098466">
    <w:abstractNumId w:val="23"/>
  </w:num>
  <w:num w:numId="39" w16cid:durableId="2046825814">
    <w:abstractNumId w:val="31"/>
  </w:num>
  <w:num w:numId="40" w16cid:durableId="1746341771">
    <w:abstractNumId w:val="16"/>
  </w:num>
  <w:num w:numId="41" w16cid:durableId="135476276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7"/>
    <w:rsid w:val="000078A1"/>
    <w:rsid w:val="00013BF0"/>
    <w:rsid w:val="000146BC"/>
    <w:rsid w:val="00015B5B"/>
    <w:rsid w:val="00020970"/>
    <w:rsid w:val="000238BF"/>
    <w:rsid w:val="00023D39"/>
    <w:rsid w:val="00046037"/>
    <w:rsid w:val="00061982"/>
    <w:rsid w:val="00073DBE"/>
    <w:rsid w:val="00074D24"/>
    <w:rsid w:val="00083563"/>
    <w:rsid w:val="000905F3"/>
    <w:rsid w:val="0009664C"/>
    <w:rsid w:val="000A43CB"/>
    <w:rsid w:val="000B4DF1"/>
    <w:rsid w:val="000B4FCC"/>
    <w:rsid w:val="000C019C"/>
    <w:rsid w:val="000D04DC"/>
    <w:rsid w:val="00102305"/>
    <w:rsid w:val="00115FCD"/>
    <w:rsid w:val="00123898"/>
    <w:rsid w:val="0015269F"/>
    <w:rsid w:val="00155B0C"/>
    <w:rsid w:val="00165F6E"/>
    <w:rsid w:val="00170CC8"/>
    <w:rsid w:val="001719BD"/>
    <w:rsid w:val="00175781"/>
    <w:rsid w:val="0018666C"/>
    <w:rsid w:val="00195475"/>
    <w:rsid w:val="001965A2"/>
    <w:rsid w:val="001A1BBC"/>
    <w:rsid w:val="001A5356"/>
    <w:rsid w:val="001A6A21"/>
    <w:rsid w:val="001B7404"/>
    <w:rsid w:val="001C0690"/>
    <w:rsid w:val="001C7738"/>
    <w:rsid w:val="001E7F08"/>
    <w:rsid w:val="00216AFD"/>
    <w:rsid w:val="00221482"/>
    <w:rsid w:val="00244D33"/>
    <w:rsid w:val="00266A73"/>
    <w:rsid w:val="00294BB2"/>
    <w:rsid w:val="002A2397"/>
    <w:rsid w:val="002B2C9B"/>
    <w:rsid w:val="002C2775"/>
    <w:rsid w:val="002C3201"/>
    <w:rsid w:val="002C5819"/>
    <w:rsid w:val="002C7629"/>
    <w:rsid w:val="002D0914"/>
    <w:rsid w:val="002D26CF"/>
    <w:rsid w:val="002D3CE4"/>
    <w:rsid w:val="002D66DF"/>
    <w:rsid w:val="002E0FCB"/>
    <w:rsid w:val="002E6746"/>
    <w:rsid w:val="002F205D"/>
    <w:rsid w:val="002F490C"/>
    <w:rsid w:val="002F524F"/>
    <w:rsid w:val="00304D77"/>
    <w:rsid w:val="0034126F"/>
    <w:rsid w:val="00354FEB"/>
    <w:rsid w:val="00357D77"/>
    <w:rsid w:val="00360E1E"/>
    <w:rsid w:val="003657FC"/>
    <w:rsid w:val="00382122"/>
    <w:rsid w:val="00382483"/>
    <w:rsid w:val="00382A89"/>
    <w:rsid w:val="003872EC"/>
    <w:rsid w:val="00392BF5"/>
    <w:rsid w:val="003A154F"/>
    <w:rsid w:val="003B165E"/>
    <w:rsid w:val="003B2011"/>
    <w:rsid w:val="003B644D"/>
    <w:rsid w:val="003E099C"/>
    <w:rsid w:val="003F13C3"/>
    <w:rsid w:val="00404AE4"/>
    <w:rsid w:val="00407F82"/>
    <w:rsid w:val="0041723B"/>
    <w:rsid w:val="00420537"/>
    <w:rsid w:val="0043026C"/>
    <w:rsid w:val="0043327D"/>
    <w:rsid w:val="00440AA3"/>
    <w:rsid w:val="0044132C"/>
    <w:rsid w:val="004479D2"/>
    <w:rsid w:val="00453B69"/>
    <w:rsid w:val="00455C6E"/>
    <w:rsid w:val="00487E61"/>
    <w:rsid w:val="00495978"/>
    <w:rsid w:val="004A3525"/>
    <w:rsid w:val="004A3B0E"/>
    <w:rsid w:val="004B1B35"/>
    <w:rsid w:val="004C7D56"/>
    <w:rsid w:val="004D4BE7"/>
    <w:rsid w:val="004D77B1"/>
    <w:rsid w:val="004E1A38"/>
    <w:rsid w:val="004F4A1D"/>
    <w:rsid w:val="0050453A"/>
    <w:rsid w:val="0050770D"/>
    <w:rsid w:val="005121F5"/>
    <w:rsid w:val="00515D71"/>
    <w:rsid w:val="00520998"/>
    <w:rsid w:val="00534474"/>
    <w:rsid w:val="00534A00"/>
    <w:rsid w:val="00545CFA"/>
    <w:rsid w:val="00550F42"/>
    <w:rsid w:val="005700A2"/>
    <w:rsid w:val="0057073B"/>
    <w:rsid w:val="00572040"/>
    <w:rsid w:val="00577FF4"/>
    <w:rsid w:val="005915CA"/>
    <w:rsid w:val="00592256"/>
    <w:rsid w:val="005968B4"/>
    <w:rsid w:val="005A0724"/>
    <w:rsid w:val="005A1548"/>
    <w:rsid w:val="005A427C"/>
    <w:rsid w:val="005A4D32"/>
    <w:rsid w:val="005A69B5"/>
    <w:rsid w:val="005A6AAC"/>
    <w:rsid w:val="005A73CE"/>
    <w:rsid w:val="005B105A"/>
    <w:rsid w:val="005B51F5"/>
    <w:rsid w:val="005B642C"/>
    <w:rsid w:val="005C22F8"/>
    <w:rsid w:val="005C490C"/>
    <w:rsid w:val="005D3BC9"/>
    <w:rsid w:val="005D63A7"/>
    <w:rsid w:val="005D6BEF"/>
    <w:rsid w:val="005F04A5"/>
    <w:rsid w:val="005F313E"/>
    <w:rsid w:val="00601F06"/>
    <w:rsid w:val="006217B7"/>
    <w:rsid w:val="0062523A"/>
    <w:rsid w:val="00630220"/>
    <w:rsid w:val="00630D05"/>
    <w:rsid w:val="0063165E"/>
    <w:rsid w:val="00637097"/>
    <w:rsid w:val="00652F5F"/>
    <w:rsid w:val="006550B7"/>
    <w:rsid w:val="00671151"/>
    <w:rsid w:val="00682D29"/>
    <w:rsid w:val="00686580"/>
    <w:rsid w:val="00693DAA"/>
    <w:rsid w:val="006A1CD3"/>
    <w:rsid w:val="006A42EE"/>
    <w:rsid w:val="006A4A8F"/>
    <w:rsid w:val="006B023F"/>
    <w:rsid w:val="006B1D20"/>
    <w:rsid w:val="006B2D4B"/>
    <w:rsid w:val="006B4855"/>
    <w:rsid w:val="006B586B"/>
    <w:rsid w:val="006C0F61"/>
    <w:rsid w:val="006C45F5"/>
    <w:rsid w:val="006D047A"/>
    <w:rsid w:val="006D116E"/>
    <w:rsid w:val="006E074D"/>
    <w:rsid w:val="006E16A4"/>
    <w:rsid w:val="006E1F4F"/>
    <w:rsid w:val="006F6EEA"/>
    <w:rsid w:val="0070560E"/>
    <w:rsid w:val="00706CD4"/>
    <w:rsid w:val="00715805"/>
    <w:rsid w:val="00715F89"/>
    <w:rsid w:val="00717A6B"/>
    <w:rsid w:val="007210A7"/>
    <w:rsid w:val="007222BC"/>
    <w:rsid w:val="00744024"/>
    <w:rsid w:val="0075278C"/>
    <w:rsid w:val="0075425B"/>
    <w:rsid w:val="00757E50"/>
    <w:rsid w:val="00763B79"/>
    <w:rsid w:val="00765AC7"/>
    <w:rsid w:val="00793A0D"/>
    <w:rsid w:val="007B3C59"/>
    <w:rsid w:val="007C1AC9"/>
    <w:rsid w:val="007C1DB6"/>
    <w:rsid w:val="007C7017"/>
    <w:rsid w:val="007F5FB6"/>
    <w:rsid w:val="0080172D"/>
    <w:rsid w:val="00805813"/>
    <w:rsid w:val="00810216"/>
    <w:rsid w:val="00816FD0"/>
    <w:rsid w:val="00821A6E"/>
    <w:rsid w:val="008231D2"/>
    <w:rsid w:val="00825295"/>
    <w:rsid w:val="008276FE"/>
    <w:rsid w:val="0083136F"/>
    <w:rsid w:val="0083733E"/>
    <w:rsid w:val="008503C8"/>
    <w:rsid w:val="0085686B"/>
    <w:rsid w:val="00875A51"/>
    <w:rsid w:val="00880EB4"/>
    <w:rsid w:val="00883A3E"/>
    <w:rsid w:val="00883F73"/>
    <w:rsid w:val="008B00CB"/>
    <w:rsid w:val="008F110E"/>
    <w:rsid w:val="008F37F1"/>
    <w:rsid w:val="00901E11"/>
    <w:rsid w:val="00902E6D"/>
    <w:rsid w:val="009034B2"/>
    <w:rsid w:val="00904542"/>
    <w:rsid w:val="0091002B"/>
    <w:rsid w:val="00915E08"/>
    <w:rsid w:val="0094792B"/>
    <w:rsid w:val="00963AFE"/>
    <w:rsid w:val="00963FA5"/>
    <w:rsid w:val="00966C05"/>
    <w:rsid w:val="00970DBB"/>
    <w:rsid w:val="00984D03"/>
    <w:rsid w:val="00991F12"/>
    <w:rsid w:val="009A513B"/>
    <w:rsid w:val="009B3099"/>
    <w:rsid w:val="009B50A8"/>
    <w:rsid w:val="009B5843"/>
    <w:rsid w:val="009C7675"/>
    <w:rsid w:val="009D2706"/>
    <w:rsid w:val="009D67CC"/>
    <w:rsid w:val="009D6FCD"/>
    <w:rsid w:val="009D7517"/>
    <w:rsid w:val="009E00B0"/>
    <w:rsid w:val="009E58B2"/>
    <w:rsid w:val="009E6143"/>
    <w:rsid w:val="00A0242B"/>
    <w:rsid w:val="00A0514C"/>
    <w:rsid w:val="00A31099"/>
    <w:rsid w:val="00A33308"/>
    <w:rsid w:val="00A344AE"/>
    <w:rsid w:val="00A34B1E"/>
    <w:rsid w:val="00A43458"/>
    <w:rsid w:val="00A57C65"/>
    <w:rsid w:val="00A62C0A"/>
    <w:rsid w:val="00A70FEC"/>
    <w:rsid w:val="00A727E3"/>
    <w:rsid w:val="00A74002"/>
    <w:rsid w:val="00A74356"/>
    <w:rsid w:val="00A844CE"/>
    <w:rsid w:val="00A85C5A"/>
    <w:rsid w:val="00A8748E"/>
    <w:rsid w:val="00AB6D5B"/>
    <w:rsid w:val="00AE021F"/>
    <w:rsid w:val="00AE0818"/>
    <w:rsid w:val="00B02490"/>
    <w:rsid w:val="00B078DC"/>
    <w:rsid w:val="00B1515D"/>
    <w:rsid w:val="00B320D0"/>
    <w:rsid w:val="00B32B7D"/>
    <w:rsid w:val="00B4629A"/>
    <w:rsid w:val="00B47631"/>
    <w:rsid w:val="00B535FE"/>
    <w:rsid w:val="00B562F4"/>
    <w:rsid w:val="00B56DAF"/>
    <w:rsid w:val="00B661FC"/>
    <w:rsid w:val="00B77B68"/>
    <w:rsid w:val="00B81799"/>
    <w:rsid w:val="00B83FF2"/>
    <w:rsid w:val="00B86106"/>
    <w:rsid w:val="00BA68BA"/>
    <w:rsid w:val="00BD0946"/>
    <w:rsid w:val="00BE4EF3"/>
    <w:rsid w:val="00BF7067"/>
    <w:rsid w:val="00C03D8D"/>
    <w:rsid w:val="00C0749D"/>
    <w:rsid w:val="00C140BB"/>
    <w:rsid w:val="00C16A47"/>
    <w:rsid w:val="00C22B5E"/>
    <w:rsid w:val="00C24937"/>
    <w:rsid w:val="00C40AA8"/>
    <w:rsid w:val="00C45D79"/>
    <w:rsid w:val="00C47043"/>
    <w:rsid w:val="00C520D0"/>
    <w:rsid w:val="00C52B85"/>
    <w:rsid w:val="00C61F14"/>
    <w:rsid w:val="00C76100"/>
    <w:rsid w:val="00C77AFE"/>
    <w:rsid w:val="00CA3FB9"/>
    <w:rsid w:val="00CC4280"/>
    <w:rsid w:val="00CD07A9"/>
    <w:rsid w:val="00CE0738"/>
    <w:rsid w:val="00CE0DCF"/>
    <w:rsid w:val="00D06F9F"/>
    <w:rsid w:val="00D07F46"/>
    <w:rsid w:val="00D10D2D"/>
    <w:rsid w:val="00D3562D"/>
    <w:rsid w:val="00D4069F"/>
    <w:rsid w:val="00D6708A"/>
    <w:rsid w:val="00D72695"/>
    <w:rsid w:val="00D9669D"/>
    <w:rsid w:val="00DC0406"/>
    <w:rsid w:val="00DC0474"/>
    <w:rsid w:val="00DC424D"/>
    <w:rsid w:val="00DC4B78"/>
    <w:rsid w:val="00DE3E5E"/>
    <w:rsid w:val="00DE4A7F"/>
    <w:rsid w:val="00DF3C1A"/>
    <w:rsid w:val="00E116A7"/>
    <w:rsid w:val="00E11B52"/>
    <w:rsid w:val="00E17A5D"/>
    <w:rsid w:val="00E223CD"/>
    <w:rsid w:val="00E322B3"/>
    <w:rsid w:val="00E3289C"/>
    <w:rsid w:val="00E421A9"/>
    <w:rsid w:val="00E51041"/>
    <w:rsid w:val="00E531C8"/>
    <w:rsid w:val="00E56B95"/>
    <w:rsid w:val="00E57C68"/>
    <w:rsid w:val="00E64811"/>
    <w:rsid w:val="00E728E3"/>
    <w:rsid w:val="00E947B8"/>
    <w:rsid w:val="00EA76A4"/>
    <w:rsid w:val="00EB42AB"/>
    <w:rsid w:val="00EC56EF"/>
    <w:rsid w:val="00ED2178"/>
    <w:rsid w:val="00ED3D4F"/>
    <w:rsid w:val="00EE677C"/>
    <w:rsid w:val="00EF1D76"/>
    <w:rsid w:val="00EF406B"/>
    <w:rsid w:val="00EF72B9"/>
    <w:rsid w:val="00F17286"/>
    <w:rsid w:val="00F17454"/>
    <w:rsid w:val="00F20C0C"/>
    <w:rsid w:val="00F325CD"/>
    <w:rsid w:val="00F363E9"/>
    <w:rsid w:val="00F426D7"/>
    <w:rsid w:val="00F43179"/>
    <w:rsid w:val="00F5026A"/>
    <w:rsid w:val="00F530AF"/>
    <w:rsid w:val="00F61E5A"/>
    <w:rsid w:val="00F864E5"/>
    <w:rsid w:val="00FA499D"/>
    <w:rsid w:val="00FA5D44"/>
    <w:rsid w:val="00FC1685"/>
    <w:rsid w:val="00FC31B8"/>
    <w:rsid w:val="00FD10BA"/>
    <w:rsid w:val="00FF3301"/>
    <w:rsid w:val="00FF5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56FC1"/>
  <w15:docId w15:val="{8EAA6C85-19F0-4395-B996-EA465014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D10D2D"/>
    <w:pPr>
      <w:ind w:left="720"/>
      <w:contextualSpacing/>
    </w:pPr>
  </w:style>
  <w:style w:type="paragraph" w:styleId="Header">
    <w:name w:val="header"/>
    <w:basedOn w:val="Normal"/>
    <w:link w:val="HeaderChar"/>
    <w:uiPriority w:val="99"/>
    <w:unhideWhenUsed/>
    <w:rsid w:val="00E17A5D"/>
    <w:pPr>
      <w:tabs>
        <w:tab w:val="center" w:pos="4513"/>
        <w:tab w:val="right" w:pos="9026"/>
      </w:tabs>
    </w:pPr>
  </w:style>
  <w:style w:type="character" w:customStyle="1" w:styleId="HeaderChar">
    <w:name w:val="Header Char"/>
    <w:basedOn w:val="DefaultParagraphFont"/>
    <w:link w:val="Header"/>
    <w:uiPriority w:val="99"/>
    <w:rsid w:val="00E17A5D"/>
  </w:style>
  <w:style w:type="paragraph" w:styleId="Footer">
    <w:name w:val="footer"/>
    <w:basedOn w:val="Normal"/>
    <w:link w:val="FooterChar"/>
    <w:uiPriority w:val="99"/>
    <w:unhideWhenUsed/>
    <w:rsid w:val="00E17A5D"/>
    <w:pPr>
      <w:tabs>
        <w:tab w:val="center" w:pos="4513"/>
        <w:tab w:val="right" w:pos="9026"/>
      </w:tabs>
    </w:pPr>
  </w:style>
  <w:style w:type="character" w:customStyle="1" w:styleId="FooterChar">
    <w:name w:val="Footer Char"/>
    <w:basedOn w:val="DefaultParagraphFont"/>
    <w:link w:val="Footer"/>
    <w:uiPriority w:val="99"/>
    <w:rsid w:val="00E17A5D"/>
  </w:style>
  <w:style w:type="paragraph" w:styleId="BalloonText">
    <w:name w:val="Balloon Text"/>
    <w:basedOn w:val="Normal"/>
    <w:link w:val="BalloonTextChar"/>
    <w:uiPriority w:val="99"/>
    <w:semiHidden/>
    <w:unhideWhenUsed/>
    <w:rsid w:val="00E17A5D"/>
    <w:rPr>
      <w:rFonts w:ascii="Tahoma" w:hAnsi="Tahoma" w:cs="Tahoma"/>
      <w:sz w:val="16"/>
      <w:szCs w:val="16"/>
    </w:rPr>
  </w:style>
  <w:style w:type="character" w:customStyle="1" w:styleId="BalloonTextChar">
    <w:name w:val="Balloon Text Char"/>
    <w:basedOn w:val="DefaultParagraphFont"/>
    <w:link w:val="BalloonText"/>
    <w:uiPriority w:val="99"/>
    <w:semiHidden/>
    <w:rsid w:val="00E17A5D"/>
    <w:rPr>
      <w:rFonts w:ascii="Tahoma" w:hAnsi="Tahoma" w:cs="Tahoma"/>
      <w:sz w:val="16"/>
      <w:szCs w:val="16"/>
    </w:rPr>
  </w:style>
  <w:style w:type="character" w:customStyle="1" w:styleId="ListParagraphChar">
    <w:name w:val="List Paragraph Char"/>
    <w:aliases w:val="Bullet Char"/>
    <w:basedOn w:val="DefaultParagraphFont"/>
    <w:link w:val="ListParagraph"/>
    <w:uiPriority w:val="34"/>
    <w:locked/>
    <w:rsid w:val="00C52B85"/>
  </w:style>
  <w:style w:type="paragraph" w:styleId="NormalWeb">
    <w:name w:val="Normal (Web)"/>
    <w:basedOn w:val="Normal"/>
    <w:uiPriority w:val="99"/>
    <w:unhideWhenUsed/>
    <w:rsid w:val="007C701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57D77"/>
    <w:rPr>
      <w:sz w:val="16"/>
      <w:szCs w:val="16"/>
    </w:rPr>
  </w:style>
  <w:style w:type="paragraph" w:styleId="CommentText">
    <w:name w:val="annotation text"/>
    <w:basedOn w:val="Normal"/>
    <w:link w:val="CommentTextChar"/>
    <w:uiPriority w:val="99"/>
    <w:semiHidden/>
    <w:unhideWhenUsed/>
    <w:rsid w:val="00357D77"/>
    <w:rPr>
      <w:sz w:val="20"/>
      <w:szCs w:val="20"/>
    </w:rPr>
  </w:style>
  <w:style w:type="character" w:customStyle="1" w:styleId="CommentTextChar">
    <w:name w:val="Comment Text Char"/>
    <w:basedOn w:val="DefaultParagraphFont"/>
    <w:link w:val="CommentText"/>
    <w:uiPriority w:val="99"/>
    <w:semiHidden/>
    <w:rsid w:val="00357D77"/>
    <w:rPr>
      <w:sz w:val="20"/>
      <w:szCs w:val="20"/>
    </w:rPr>
  </w:style>
  <w:style w:type="paragraph" w:styleId="CommentSubject">
    <w:name w:val="annotation subject"/>
    <w:basedOn w:val="CommentText"/>
    <w:next w:val="CommentText"/>
    <w:link w:val="CommentSubjectChar"/>
    <w:uiPriority w:val="99"/>
    <w:semiHidden/>
    <w:unhideWhenUsed/>
    <w:rsid w:val="00357D77"/>
    <w:rPr>
      <w:b/>
      <w:bCs/>
    </w:rPr>
  </w:style>
  <w:style w:type="character" w:customStyle="1" w:styleId="CommentSubjectChar">
    <w:name w:val="Comment Subject Char"/>
    <w:basedOn w:val="CommentTextChar"/>
    <w:link w:val="CommentSubject"/>
    <w:uiPriority w:val="99"/>
    <w:semiHidden/>
    <w:rsid w:val="00357D77"/>
    <w:rPr>
      <w:b/>
      <w:bCs/>
      <w:sz w:val="20"/>
      <w:szCs w:val="20"/>
    </w:rPr>
  </w:style>
  <w:style w:type="paragraph" w:customStyle="1" w:styleId="Default">
    <w:name w:val="Default"/>
    <w:rsid w:val="001A1BBC"/>
    <w:pPr>
      <w:autoSpaceDE w:val="0"/>
      <w:autoSpaceDN w:val="0"/>
      <w:adjustRightInd w:val="0"/>
    </w:pPr>
    <w:rPr>
      <w:rFonts w:ascii="Calibri" w:hAnsi="Calibri" w:cs="Calibri"/>
      <w:color w:val="000000"/>
      <w:sz w:val="24"/>
      <w:szCs w:val="24"/>
    </w:rPr>
  </w:style>
  <w:style w:type="table" w:styleId="TableGrid">
    <w:name w:val="Table Grid"/>
    <w:basedOn w:val="TableNormal"/>
    <w:rsid w:val="000146B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6BC"/>
    <w:rPr>
      <w:color w:val="0000FF" w:themeColor="hyperlink"/>
      <w:u w:val="single"/>
    </w:rPr>
  </w:style>
  <w:style w:type="character" w:customStyle="1" w:styleId="UnresolvedMention1">
    <w:name w:val="Unresolved Mention1"/>
    <w:basedOn w:val="DefaultParagraphFont"/>
    <w:uiPriority w:val="99"/>
    <w:semiHidden/>
    <w:unhideWhenUsed/>
    <w:rsid w:val="000146BC"/>
    <w:rPr>
      <w:color w:val="605E5C"/>
      <w:shd w:val="clear" w:color="auto" w:fill="E1DFDD"/>
    </w:rPr>
  </w:style>
  <w:style w:type="character" w:styleId="FollowedHyperlink">
    <w:name w:val="FollowedHyperlink"/>
    <w:basedOn w:val="DefaultParagraphFont"/>
    <w:uiPriority w:val="99"/>
    <w:semiHidden/>
    <w:unhideWhenUsed/>
    <w:rsid w:val="00014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793">
      <w:bodyDiv w:val="1"/>
      <w:marLeft w:val="0"/>
      <w:marRight w:val="0"/>
      <w:marTop w:val="0"/>
      <w:marBottom w:val="0"/>
      <w:divBdr>
        <w:top w:val="none" w:sz="0" w:space="0" w:color="auto"/>
        <w:left w:val="none" w:sz="0" w:space="0" w:color="auto"/>
        <w:bottom w:val="none" w:sz="0" w:space="0" w:color="auto"/>
        <w:right w:val="none" w:sz="0" w:space="0" w:color="auto"/>
      </w:divBdr>
    </w:div>
    <w:div w:id="97484468">
      <w:bodyDiv w:val="1"/>
      <w:marLeft w:val="0"/>
      <w:marRight w:val="0"/>
      <w:marTop w:val="0"/>
      <w:marBottom w:val="0"/>
      <w:divBdr>
        <w:top w:val="none" w:sz="0" w:space="0" w:color="auto"/>
        <w:left w:val="none" w:sz="0" w:space="0" w:color="auto"/>
        <w:bottom w:val="none" w:sz="0" w:space="0" w:color="auto"/>
        <w:right w:val="none" w:sz="0" w:space="0" w:color="auto"/>
      </w:divBdr>
    </w:div>
    <w:div w:id="323315902">
      <w:bodyDiv w:val="1"/>
      <w:marLeft w:val="0"/>
      <w:marRight w:val="0"/>
      <w:marTop w:val="0"/>
      <w:marBottom w:val="0"/>
      <w:divBdr>
        <w:top w:val="none" w:sz="0" w:space="0" w:color="auto"/>
        <w:left w:val="none" w:sz="0" w:space="0" w:color="auto"/>
        <w:bottom w:val="none" w:sz="0" w:space="0" w:color="auto"/>
        <w:right w:val="none" w:sz="0" w:space="0" w:color="auto"/>
      </w:divBdr>
    </w:div>
    <w:div w:id="403185465">
      <w:bodyDiv w:val="1"/>
      <w:marLeft w:val="0"/>
      <w:marRight w:val="0"/>
      <w:marTop w:val="0"/>
      <w:marBottom w:val="0"/>
      <w:divBdr>
        <w:top w:val="none" w:sz="0" w:space="0" w:color="auto"/>
        <w:left w:val="none" w:sz="0" w:space="0" w:color="auto"/>
        <w:bottom w:val="none" w:sz="0" w:space="0" w:color="auto"/>
        <w:right w:val="none" w:sz="0" w:space="0" w:color="auto"/>
      </w:divBdr>
    </w:div>
    <w:div w:id="448358530">
      <w:bodyDiv w:val="1"/>
      <w:marLeft w:val="0"/>
      <w:marRight w:val="0"/>
      <w:marTop w:val="0"/>
      <w:marBottom w:val="0"/>
      <w:divBdr>
        <w:top w:val="none" w:sz="0" w:space="0" w:color="auto"/>
        <w:left w:val="none" w:sz="0" w:space="0" w:color="auto"/>
        <w:bottom w:val="none" w:sz="0" w:space="0" w:color="auto"/>
        <w:right w:val="none" w:sz="0" w:space="0" w:color="auto"/>
      </w:divBdr>
    </w:div>
    <w:div w:id="555626423">
      <w:bodyDiv w:val="1"/>
      <w:marLeft w:val="0"/>
      <w:marRight w:val="0"/>
      <w:marTop w:val="0"/>
      <w:marBottom w:val="0"/>
      <w:divBdr>
        <w:top w:val="none" w:sz="0" w:space="0" w:color="auto"/>
        <w:left w:val="none" w:sz="0" w:space="0" w:color="auto"/>
        <w:bottom w:val="none" w:sz="0" w:space="0" w:color="auto"/>
        <w:right w:val="none" w:sz="0" w:space="0" w:color="auto"/>
      </w:divBdr>
    </w:div>
    <w:div w:id="596133569">
      <w:bodyDiv w:val="1"/>
      <w:marLeft w:val="0"/>
      <w:marRight w:val="0"/>
      <w:marTop w:val="0"/>
      <w:marBottom w:val="0"/>
      <w:divBdr>
        <w:top w:val="none" w:sz="0" w:space="0" w:color="auto"/>
        <w:left w:val="none" w:sz="0" w:space="0" w:color="auto"/>
        <w:bottom w:val="none" w:sz="0" w:space="0" w:color="auto"/>
        <w:right w:val="none" w:sz="0" w:space="0" w:color="auto"/>
      </w:divBdr>
    </w:div>
    <w:div w:id="637685625">
      <w:bodyDiv w:val="1"/>
      <w:marLeft w:val="0"/>
      <w:marRight w:val="0"/>
      <w:marTop w:val="0"/>
      <w:marBottom w:val="0"/>
      <w:divBdr>
        <w:top w:val="none" w:sz="0" w:space="0" w:color="auto"/>
        <w:left w:val="none" w:sz="0" w:space="0" w:color="auto"/>
        <w:bottom w:val="none" w:sz="0" w:space="0" w:color="auto"/>
        <w:right w:val="none" w:sz="0" w:space="0" w:color="auto"/>
      </w:divBdr>
    </w:div>
    <w:div w:id="682902397">
      <w:bodyDiv w:val="1"/>
      <w:marLeft w:val="0"/>
      <w:marRight w:val="0"/>
      <w:marTop w:val="0"/>
      <w:marBottom w:val="0"/>
      <w:divBdr>
        <w:top w:val="none" w:sz="0" w:space="0" w:color="auto"/>
        <w:left w:val="none" w:sz="0" w:space="0" w:color="auto"/>
        <w:bottom w:val="none" w:sz="0" w:space="0" w:color="auto"/>
        <w:right w:val="none" w:sz="0" w:space="0" w:color="auto"/>
      </w:divBdr>
    </w:div>
    <w:div w:id="725109545">
      <w:bodyDiv w:val="1"/>
      <w:marLeft w:val="0"/>
      <w:marRight w:val="0"/>
      <w:marTop w:val="0"/>
      <w:marBottom w:val="0"/>
      <w:divBdr>
        <w:top w:val="none" w:sz="0" w:space="0" w:color="auto"/>
        <w:left w:val="none" w:sz="0" w:space="0" w:color="auto"/>
        <w:bottom w:val="none" w:sz="0" w:space="0" w:color="auto"/>
        <w:right w:val="none" w:sz="0" w:space="0" w:color="auto"/>
      </w:divBdr>
    </w:div>
    <w:div w:id="866480838">
      <w:bodyDiv w:val="1"/>
      <w:marLeft w:val="0"/>
      <w:marRight w:val="0"/>
      <w:marTop w:val="0"/>
      <w:marBottom w:val="0"/>
      <w:divBdr>
        <w:top w:val="none" w:sz="0" w:space="0" w:color="auto"/>
        <w:left w:val="none" w:sz="0" w:space="0" w:color="auto"/>
        <w:bottom w:val="none" w:sz="0" w:space="0" w:color="auto"/>
        <w:right w:val="none" w:sz="0" w:space="0" w:color="auto"/>
      </w:divBdr>
    </w:div>
    <w:div w:id="944918011">
      <w:bodyDiv w:val="1"/>
      <w:marLeft w:val="0"/>
      <w:marRight w:val="0"/>
      <w:marTop w:val="0"/>
      <w:marBottom w:val="0"/>
      <w:divBdr>
        <w:top w:val="none" w:sz="0" w:space="0" w:color="auto"/>
        <w:left w:val="none" w:sz="0" w:space="0" w:color="auto"/>
        <w:bottom w:val="none" w:sz="0" w:space="0" w:color="auto"/>
        <w:right w:val="none" w:sz="0" w:space="0" w:color="auto"/>
      </w:divBdr>
    </w:div>
    <w:div w:id="948976973">
      <w:bodyDiv w:val="1"/>
      <w:marLeft w:val="0"/>
      <w:marRight w:val="0"/>
      <w:marTop w:val="0"/>
      <w:marBottom w:val="0"/>
      <w:divBdr>
        <w:top w:val="none" w:sz="0" w:space="0" w:color="auto"/>
        <w:left w:val="none" w:sz="0" w:space="0" w:color="auto"/>
        <w:bottom w:val="none" w:sz="0" w:space="0" w:color="auto"/>
        <w:right w:val="none" w:sz="0" w:space="0" w:color="auto"/>
      </w:divBdr>
    </w:div>
    <w:div w:id="1543787896">
      <w:bodyDiv w:val="1"/>
      <w:marLeft w:val="0"/>
      <w:marRight w:val="0"/>
      <w:marTop w:val="0"/>
      <w:marBottom w:val="0"/>
      <w:divBdr>
        <w:top w:val="none" w:sz="0" w:space="0" w:color="auto"/>
        <w:left w:val="none" w:sz="0" w:space="0" w:color="auto"/>
        <w:bottom w:val="none" w:sz="0" w:space="0" w:color="auto"/>
        <w:right w:val="none" w:sz="0" w:space="0" w:color="auto"/>
      </w:divBdr>
    </w:div>
    <w:div w:id="1551459214">
      <w:bodyDiv w:val="1"/>
      <w:marLeft w:val="0"/>
      <w:marRight w:val="0"/>
      <w:marTop w:val="0"/>
      <w:marBottom w:val="0"/>
      <w:divBdr>
        <w:top w:val="none" w:sz="0" w:space="0" w:color="auto"/>
        <w:left w:val="none" w:sz="0" w:space="0" w:color="auto"/>
        <w:bottom w:val="none" w:sz="0" w:space="0" w:color="auto"/>
        <w:right w:val="none" w:sz="0" w:space="0" w:color="auto"/>
      </w:divBdr>
    </w:div>
    <w:div w:id="1612514672">
      <w:bodyDiv w:val="1"/>
      <w:marLeft w:val="0"/>
      <w:marRight w:val="0"/>
      <w:marTop w:val="0"/>
      <w:marBottom w:val="0"/>
      <w:divBdr>
        <w:top w:val="none" w:sz="0" w:space="0" w:color="auto"/>
        <w:left w:val="none" w:sz="0" w:space="0" w:color="auto"/>
        <w:bottom w:val="none" w:sz="0" w:space="0" w:color="auto"/>
        <w:right w:val="none" w:sz="0" w:space="0" w:color="auto"/>
      </w:divBdr>
    </w:div>
    <w:div w:id="1622808422">
      <w:bodyDiv w:val="1"/>
      <w:marLeft w:val="0"/>
      <w:marRight w:val="0"/>
      <w:marTop w:val="0"/>
      <w:marBottom w:val="0"/>
      <w:divBdr>
        <w:top w:val="none" w:sz="0" w:space="0" w:color="auto"/>
        <w:left w:val="none" w:sz="0" w:space="0" w:color="auto"/>
        <w:bottom w:val="none" w:sz="0" w:space="0" w:color="auto"/>
        <w:right w:val="none" w:sz="0" w:space="0" w:color="auto"/>
      </w:divBdr>
    </w:div>
    <w:div w:id="1996251419">
      <w:bodyDiv w:val="1"/>
      <w:marLeft w:val="0"/>
      <w:marRight w:val="0"/>
      <w:marTop w:val="0"/>
      <w:marBottom w:val="0"/>
      <w:divBdr>
        <w:top w:val="none" w:sz="0" w:space="0" w:color="auto"/>
        <w:left w:val="none" w:sz="0" w:space="0" w:color="auto"/>
        <w:bottom w:val="none" w:sz="0" w:space="0" w:color="auto"/>
        <w:right w:val="none" w:sz="0" w:space="0" w:color="auto"/>
      </w:divBdr>
    </w:div>
    <w:div w:id="2025746087">
      <w:bodyDiv w:val="1"/>
      <w:marLeft w:val="0"/>
      <w:marRight w:val="0"/>
      <w:marTop w:val="0"/>
      <w:marBottom w:val="0"/>
      <w:divBdr>
        <w:top w:val="none" w:sz="0" w:space="0" w:color="auto"/>
        <w:left w:val="none" w:sz="0" w:space="0" w:color="auto"/>
        <w:bottom w:val="none" w:sz="0" w:space="0" w:color="auto"/>
        <w:right w:val="none" w:sz="0" w:space="0" w:color="auto"/>
      </w:divBdr>
    </w:div>
    <w:div w:id="2090299360">
      <w:bodyDiv w:val="1"/>
      <w:marLeft w:val="0"/>
      <w:marRight w:val="0"/>
      <w:marTop w:val="0"/>
      <w:marBottom w:val="0"/>
      <w:divBdr>
        <w:top w:val="none" w:sz="0" w:space="0" w:color="auto"/>
        <w:left w:val="none" w:sz="0" w:space="0" w:color="auto"/>
        <w:bottom w:val="none" w:sz="0" w:space="0" w:color="auto"/>
        <w:right w:val="none" w:sz="0" w:space="0" w:color="auto"/>
      </w:divBdr>
    </w:div>
    <w:div w:id="21411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urreywildlifetrust.org/what-we-do/about-us/govern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Surrey Wildlife Trust</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Ward</dc:creator>
  <cp:lastModifiedBy>Roger Wild</cp:lastModifiedBy>
  <cp:revision>2</cp:revision>
  <cp:lastPrinted>2018-12-17T11:28:00Z</cp:lastPrinted>
  <dcterms:created xsi:type="dcterms:W3CDTF">2022-11-14T11:03:00Z</dcterms:created>
  <dcterms:modified xsi:type="dcterms:W3CDTF">2022-11-14T11:03:00Z</dcterms:modified>
</cp:coreProperties>
</file>